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kda-20260930.htm"/>
      <w:bookmarkStart w:id="1" w:name="ksrkda20260930"/>
      <w:bookmarkEnd w:id="0"/>
      <w:bookmarkEnd w:id="1"/>
      <w:r>
        <w:rPr/>
        <w:t> </w:t>
      </w:r>
    </w:p>
    <w:p>
      <w:pPr>
        <w:pStyle w:val="TextBody"/>
        <w:bidi w:val="0"/>
        <w:jc w:val="right"/>
        <w:rPr>
          <w:rFonts w:ascii="Times New Roman" w:hAnsi="Times New Roman"/>
          <w:b/>
          <w:color w:val="000000"/>
          <w:sz w:val="16"/>
        </w:rPr>
      </w:pPr>
      <w:r>
        <w:rPr>
          <w:rFonts w:ascii="Times New Roman" w:hAnsi="Times New Roman"/>
          <w:b/>
          <w:color w:val="000000"/>
          <w:sz w:val="16"/>
        </w:rPr>
        <w:t>Registration Statement No. 333-</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16"/>
        </w:rPr>
      </w:pPr>
      <w:r>
        <w:rPr>
          <w:rFonts w:ascii="Times New Roman" w:hAnsi="Times New Roman"/>
          <w:b/>
          <w:color w:val="000000"/>
          <w:sz w:val="16"/>
        </w:rPr>
        <w:t>Washington, D.C. 20549</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FORM S-8</w:t>
      </w:r>
    </w:p>
    <w:p>
      <w:pPr>
        <w:pStyle w:val="TextBody"/>
        <w:bidi w:val="0"/>
        <w:jc w:val="center"/>
        <w:rPr>
          <w:rFonts w:ascii="Times New Roman" w:hAnsi="Times New Roman"/>
          <w:b/>
          <w:color w:val="000000"/>
          <w:sz w:val="26"/>
        </w:rPr>
      </w:pPr>
      <w:r>
        <w:rPr>
          <w:rFonts w:ascii="Times New Roman" w:hAnsi="Times New Roman"/>
          <w:b/>
          <w:color w:val="000000"/>
          <w:sz w:val="26"/>
        </w:rPr>
        <w:t>REGISTRATION STATEMENT</w:t>
      </w:r>
    </w:p>
    <w:p>
      <w:pPr>
        <w:pStyle w:val="TextBody"/>
        <w:bidi w:val="0"/>
        <w:jc w:val="center"/>
        <w:rPr>
          <w:rFonts w:ascii="Times New Roman" w:hAnsi="Times New Roman"/>
          <w:b/>
          <w:i/>
          <w:color w:val="000000"/>
          <w:sz w:val="16"/>
        </w:rPr>
      </w:pPr>
      <w:r>
        <w:rPr>
          <w:rFonts w:ascii="Times New Roman" w:hAnsi="Times New Roman"/>
          <w:b/>
          <w:i/>
          <w:color w:val="000000"/>
          <w:sz w:val="16"/>
        </w:rPr>
        <w:t>Under</w:t>
      </w:r>
    </w:p>
    <w:p>
      <w:pPr>
        <w:pStyle w:val="TextBody"/>
        <w:bidi w:val="0"/>
        <w:jc w:val="center"/>
        <w:rPr>
          <w:rFonts w:ascii="Times New Roman" w:hAnsi="Times New Roman"/>
          <w:b/>
          <w:i/>
          <w:color w:val="000000"/>
          <w:sz w:val="16"/>
        </w:rPr>
      </w:pPr>
      <w:r>
        <w:rPr>
          <w:rFonts w:ascii="Times New Roman" w:hAnsi="Times New Roman"/>
          <w:b/>
          <w:i/>
          <w:color w:val="000000"/>
          <w:sz w:val="16"/>
        </w:rPr>
        <w:t>THE SECURITIES ACT OF 1933</w:t>
      </w:r>
    </w:p>
    <w:p>
      <w:pPr>
        <w:pStyle w:val="TextBody"/>
        <w:pBdr>
          <w:bottom w:val="single" w:sz="6" w:space="1" w:color="000000"/>
        </w:pBdr>
        <w:bidi w:val="0"/>
        <w:jc w:val="center"/>
        <w:rPr/>
      </w:pPr>
      <w:r>
        <w:rPr/>
        <w:t> </w:t>
      </w:r>
    </w:p>
    <w:p>
      <w:pPr>
        <w:pStyle w:val="TextBody"/>
        <w:bidi w:val="0"/>
        <w:jc w:val="center"/>
        <w:rPr>
          <w:rFonts w:ascii="Times New Roman" w:hAnsi="Times New Roman"/>
          <w:b/>
          <w:color w:val="000000"/>
          <w:sz w:val="38"/>
        </w:rPr>
      </w:pPr>
      <w:r>
        <w:rPr>
          <w:rFonts w:ascii="Times New Roman" w:hAnsi="Times New Roman"/>
          <w:b/>
          <w:color w:val="000000"/>
          <w:sz w:val="38"/>
        </w:rPr>
        <w:t>ARCADIA BIOSCIENCES,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3422" w:type="dxa"/>
        <w:jc w:val="left"/>
        <w:tblInd w:w="0" w:type="dxa"/>
        <w:tblLayout w:type="fixed"/>
        <w:tblCellMar>
          <w:top w:w="28" w:type="dxa"/>
          <w:left w:w="28" w:type="dxa"/>
          <w:bottom w:w="28" w:type="dxa"/>
          <w:right w:w="28" w:type="dxa"/>
        </w:tblCellMar>
      </w:tblPr>
      <w:tblGrid>
        <w:gridCol w:w="2086"/>
        <w:gridCol w:w="1336"/>
      </w:tblGrid>
      <w:tr>
        <w:trPr/>
        <w:tc>
          <w:tcPr>
            <w:tcW w:w="208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81-0571538</w:t>
            </w:r>
          </w:p>
        </w:tc>
      </w:tr>
      <w:tr>
        <w:trPr/>
        <w:tc>
          <w:tcPr>
            <w:tcW w:w="208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 of</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incorporation or organization)</w:t>
            </w:r>
          </w:p>
        </w:tc>
        <w:tc>
          <w:tcPr>
            <w:tcW w:w="13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bl>
    <w:p>
      <w:pPr>
        <w:pStyle w:val="TextBody"/>
        <w:bidi w:val="0"/>
        <w:jc w:val="left"/>
        <w:rPr/>
      </w:pPr>
      <w:r>
        <w:rPr/>
        <w:t> </w:t>
      </w:r>
    </w:p>
    <w:p>
      <w:pPr>
        <w:pStyle w:val="TextBody"/>
        <w:bidi w:val="0"/>
        <w:jc w:val="center"/>
        <w:rPr>
          <w:rFonts w:ascii="Times New Roman" w:hAnsi="Times New Roman"/>
          <w:b/>
          <w:color w:val="000000"/>
          <w:sz w:val="15"/>
        </w:rPr>
      </w:pPr>
      <w:r>
        <w:rPr>
          <w:rFonts w:ascii="Times New Roman" w:hAnsi="Times New Roman"/>
          <w:b/>
          <w:color w:val="000000"/>
          <w:sz w:val="15"/>
        </w:rPr>
        <w:t>5956 Sherry Lane, Suite 2000</w:t>
      </w:r>
    </w:p>
    <w:p>
      <w:pPr>
        <w:pStyle w:val="TextBody"/>
        <w:bidi w:val="0"/>
        <w:jc w:val="center"/>
        <w:rPr>
          <w:rFonts w:ascii="Times New Roman" w:hAnsi="Times New Roman"/>
          <w:b/>
          <w:color w:val="000000"/>
          <w:sz w:val="15"/>
        </w:rPr>
      </w:pPr>
      <w:r>
        <w:rPr>
          <w:rFonts w:ascii="Times New Roman" w:hAnsi="Times New Roman"/>
          <w:b/>
          <w:color w:val="000000"/>
          <w:sz w:val="15"/>
        </w:rPr>
        <w:t>Dallas, TX 75225</w:t>
      </w:r>
    </w:p>
    <w:p>
      <w:pPr>
        <w:pStyle w:val="TextBody"/>
        <w:bidi w:val="0"/>
        <w:jc w:val="center"/>
        <w:rPr>
          <w:rFonts w:ascii="Times New Roman" w:hAnsi="Times New Roman"/>
          <w:b/>
          <w:color w:val="000000"/>
          <w:sz w:val="15"/>
        </w:rPr>
      </w:pPr>
      <w:r>
        <w:rPr>
          <w:rFonts w:ascii="Times New Roman" w:hAnsi="Times New Roman"/>
          <w:b/>
          <w:color w:val="000000"/>
          <w:sz w:val="15"/>
        </w:rPr>
        <w:t>(Address of Principal Executive Offices) (Zip Code)</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2026 Omnibus Equity Incentive Plan</w:t>
      </w:r>
    </w:p>
    <w:p>
      <w:pPr>
        <w:pStyle w:val="TextBody"/>
        <w:bidi w:val="0"/>
        <w:jc w:val="center"/>
        <w:rPr>
          <w:rFonts w:ascii="Times New Roman" w:hAnsi="Times New Roman"/>
          <w:b/>
          <w:color w:val="000000"/>
          <w:sz w:val="15"/>
        </w:rPr>
      </w:pPr>
      <w:r>
        <w:rPr>
          <w:rFonts w:ascii="Times New Roman" w:hAnsi="Times New Roman"/>
          <w:b/>
          <w:color w:val="000000"/>
          <w:sz w:val="15"/>
        </w:rPr>
        <w:t>(Full title of the plan)</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15"/>
        </w:rPr>
      </w:pPr>
      <w:r>
        <w:rPr>
          <w:rFonts w:ascii="Times New Roman" w:hAnsi="Times New Roman"/>
          <w:b/>
          <w:color w:val="000000"/>
          <w:sz w:val="15"/>
        </w:rPr>
        <w:t>Thomas J. Schaefer</w:t>
      </w:r>
    </w:p>
    <w:p>
      <w:pPr>
        <w:pStyle w:val="TextBody"/>
        <w:bidi w:val="0"/>
        <w:jc w:val="center"/>
        <w:rPr>
          <w:rFonts w:ascii="Times New Roman" w:hAnsi="Times New Roman"/>
          <w:b/>
          <w:color w:val="000000"/>
          <w:sz w:val="15"/>
        </w:rPr>
      </w:pPr>
      <w:r>
        <w:rPr>
          <w:rFonts w:ascii="Times New Roman" w:hAnsi="Times New Roman"/>
          <w:b/>
          <w:color w:val="000000"/>
          <w:sz w:val="15"/>
        </w:rPr>
        <w:t>President and Chief Executive Officer</w:t>
      </w:r>
    </w:p>
    <w:p>
      <w:pPr>
        <w:pStyle w:val="TextBody"/>
        <w:bidi w:val="0"/>
        <w:jc w:val="center"/>
        <w:rPr>
          <w:rFonts w:ascii="Times New Roman" w:hAnsi="Times New Roman"/>
          <w:b/>
          <w:color w:val="000000"/>
          <w:sz w:val="15"/>
        </w:rPr>
      </w:pPr>
      <w:r>
        <w:rPr>
          <w:rFonts w:ascii="Times New Roman" w:hAnsi="Times New Roman"/>
          <w:b/>
          <w:color w:val="000000"/>
          <w:sz w:val="15"/>
        </w:rPr>
        <w:t>5950 Sherry Lane, Suite 215</w:t>
      </w:r>
    </w:p>
    <w:p>
      <w:pPr>
        <w:pStyle w:val="TextBody"/>
        <w:bidi w:val="0"/>
        <w:jc w:val="center"/>
        <w:rPr>
          <w:rFonts w:ascii="Times New Roman" w:hAnsi="Times New Roman"/>
          <w:b/>
          <w:color w:val="000000"/>
          <w:sz w:val="15"/>
        </w:rPr>
      </w:pPr>
      <w:r>
        <w:rPr>
          <w:rFonts w:ascii="Times New Roman" w:hAnsi="Times New Roman"/>
          <w:b/>
          <w:color w:val="000000"/>
          <w:sz w:val="15"/>
        </w:rPr>
        <w:t>Dallas, TX 75225</w:t>
      </w:r>
    </w:p>
    <w:p>
      <w:pPr>
        <w:pStyle w:val="TextBody"/>
        <w:bidi w:val="0"/>
        <w:jc w:val="center"/>
        <w:rPr>
          <w:rFonts w:ascii="Times New Roman" w:hAnsi="Times New Roman"/>
          <w:b/>
          <w:color w:val="000000"/>
          <w:sz w:val="15"/>
        </w:rPr>
      </w:pPr>
      <w:r>
        <w:rPr>
          <w:rFonts w:ascii="Times New Roman" w:hAnsi="Times New Roman"/>
          <w:b/>
          <w:color w:val="000000"/>
          <w:sz w:val="15"/>
        </w:rPr>
        <w:t>(214) 974-8921</w:t>
      </w:r>
    </w:p>
    <w:p>
      <w:pPr>
        <w:pStyle w:val="TextBody"/>
        <w:bidi w:val="0"/>
        <w:jc w:val="center"/>
        <w:rPr>
          <w:rFonts w:ascii="Times New Roman" w:hAnsi="Times New Roman"/>
          <w:b/>
          <w:color w:val="000000"/>
          <w:sz w:val="15"/>
        </w:rPr>
      </w:pPr>
      <w:r>
        <w:rPr>
          <w:rFonts w:ascii="Times New Roman" w:hAnsi="Times New Roman"/>
          <w:b/>
          <w:color w:val="000000"/>
          <w:sz w:val="15"/>
        </w:rPr>
        <w:t>(Name, Address, Including Zip Code, and Telephone Number, Including Area Code, of Agent for Service)</w:t>
      </w:r>
    </w:p>
    <w:p>
      <w:pPr>
        <w:pStyle w:val="TextBody"/>
        <w:pBdr>
          <w:bottom w:val="single" w:sz="6" w:space="1" w:color="000000"/>
        </w:pBdr>
        <w:bidi w:val="0"/>
        <w:jc w:val="center"/>
        <w:rPr/>
      </w:pPr>
      <w:r>
        <w:rPr/>
        <w:t> </w:t>
      </w:r>
    </w:p>
    <w:p>
      <w:pPr>
        <w:pStyle w:val="TextBody"/>
        <w:bidi w:val="0"/>
        <w:jc w:val="center"/>
        <w:rPr>
          <w:rFonts w:ascii="Times New Roman" w:hAnsi="Times New Roman"/>
          <w:b/>
          <w:i/>
          <w:color w:val="000000"/>
          <w:sz w:val="15"/>
        </w:rPr>
      </w:pPr>
      <w:r>
        <w:rPr>
          <w:rFonts w:ascii="Times New Roman" w:hAnsi="Times New Roman"/>
          <w:b/>
          <w:i/>
          <w:color w:val="000000"/>
          <w:sz w:val="15"/>
        </w:rPr>
        <w:t>Copies to:</w:t>
      </w:r>
    </w:p>
    <w:tbl>
      <w:tblPr>
        <w:tblW w:w="6257" w:type="dxa"/>
        <w:jc w:val="left"/>
        <w:tblInd w:w="0" w:type="dxa"/>
        <w:tblLayout w:type="fixed"/>
        <w:tblCellMar>
          <w:top w:w="28" w:type="dxa"/>
          <w:left w:w="28" w:type="dxa"/>
          <w:bottom w:w="28" w:type="dxa"/>
          <w:right w:w="28" w:type="dxa"/>
        </w:tblCellMar>
      </w:tblPr>
      <w:tblGrid>
        <w:gridCol w:w="2041"/>
        <w:gridCol w:w="4216"/>
      </w:tblGrid>
      <w:tr>
        <w:trPr/>
        <w:tc>
          <w:tcPr>
            <w:tcW w:w="204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Thomas J. Schaefer</w:t>
            </w:r>
          </w:p>
          <w:p>
            <w:pPr>
              <w:pStyle w:val="TableContents"/>
              <w:bidi w:val="0"/>
              <w:jc w:val="center"/>
              <w:rPr>
                <w:rFonts w:ascii="Times New Roman" w:hAnsi="Times New Roman"/>
                <w:b/>
                <w:color w:val="000000"/>
                <w:sz w:val="15"/>
              </w:rPr>
            </w:pPr>
            <w:r>
              <w:rPr>
                <w:rFonts w:ascii="Times New Roman" w:hAnsi="Times New Roman"/>
                <w:b/>
                <w:color w:val="000000"/>
                <w:sz w:val="15"/>
              </w:rPr>
              <w:t>Chief Financial Officer</w:t>
            </w:r>
          </w:p>
          <w:p>
            <w:pPr>
              <w:pStyle w:val="TableContents"/>
              <w:bidi w:val="0"/>
              <w:jc w:val="center"/>
              <w:rPr>
                <w:rFonts w:ascii="Times New Roman" w:hAnsi="Times New Roman"/>
                <w:b/>
                <w:color w:val="000000"/>
                <w:sz w:val="15"/>
              </w:rPr>
            </w:pPr>
            <w:r>
              <w:rPr>
                <w:rFonts w:ascii="Times New Roman" w:hAnsi="Times New Roman"/>
                <w:b/>
                <w:color w:val="000000"/>
                <w:sz w:val="15"/>
              </w:rPr>
              <w:t>5956 Sherry Lane, Suite 2000</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Dallas, TX 75225</w:t>
            </w:r>
          </w:p>
        </w:tc>
        <w:tc>
          <w:tcPr>
            <w:tcW w:w="42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 Kevin Kelso, Esq.</w:t>
            </w:r>
          </w:p>
          <w:p>
            <w:pPr>
              <w:pStyle w:val="TableContents"/>
              <w:bidi w:val="0"/>
              <w:jc w:val="center"/>
              <w:rPr>
                <w:rFonts w:ascii="Times New Roman" w:hAnsi="Times New Roman"/>
                <w:b/>
                <w:color w:val="000000"/>
                <w:sz w:val="15"/>
              </w:rPr>
            </w:pPr>
            <w:r>
              <w:rPr>
                <w:rFonts w:ascii="Times New Roman" w:hAnsi="Times New Roman"/>
                <w:b/>
                <w:color w:val="000000"/>
                <w:sz w:val="15"/>
              </w:rPr>
              <w:t>Weintraub Tobin Chediak Coleman Grodin Law Corporation</w:t>
            </w:r>
          </w:p>
          <w:p>
            <w:pPr>
              <w:pStyle w:val="TableContents"/>
              <w:bidi w:val="0"/>
              <w:jc w:val="center"/>
              <w:rPr>
                <w:rFonts w:ascii="Times New Roman" w:hAnsi="Times New Roman"/>
                <w:b/>
                <w:color w:val="000000"/>
                <w:sz w:val="15"/>
              </w:rPr>
            </w:pPr>
            <w:r>
              <w:rPr>
                <w:rFonts w:ascii="Times New Roman" w:hAnsi="Times New Roman"/>
                <w:b/>
                <w:color w:val="000000"/>
                <w:sz w:val="15"/>
              </w:rPr>
              <w:t>400 Capitol Mall, Suite 1100</w:t>
            </w:r>
          </w:p>
          <w:p>
            <w:pPr>
              <w:pStyle w:val="TableContents"/>
              <w:bidi w:val="0"/>
              <w:spacing w:before="0" w:after="20"/>
              <w:jc w:val="center"/>
              <w:rPr>
                <w:rFonts w:ascii="Times New Roman" w:hAnsi="Times New Roman"/>
                <w:b/>
                <w:color w:val="000000"/>
                <w:sz w:val="15"/>
              </w:rPr>
            </w:pPr>
            <w:r>
              <w:rPr>
                <w:rFonts w:ascii="Times New Roman" w:hAnsi="Times New Roman"/>
                <w:b/>
                <w:color w:val="000000"/>
                <w:sz w:val="15"/>
              </w:rPr>
              <w:t>Sacramento, CA 95814</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89" w:type="dxa"/>
        <w:jc w:val="left"/>
        <w:tblInd w:w="0" w:type="dxa"/>
        <w:tblLayout w:type="fixed"/>
        <w:tblCellMar>
          <w:top w:w="28" w:type="dxa"/>
          <w:left w:w="28" w:type="dxa"/>
          <w:bottom w:w="28" w:type="dxa"/>
          <w:right w:w="28" w:type="dxa"/>
        </w:tblCellMar>
      </w:tblPr>
      <w:tblGrid>
        <w:gridCol w:w="1801"/>
        <w:gridCol w:w="146"/>
        <w:gridCol w:w="286"/>
        <w:gridCol w:w="146"/>
        <w:gridCol w:w="146"/>
        <w:gridCol w:w="146"/>
        <w:gridCol w:w="1741"/>
        <w:gridCol w:w="146"/>
        <w:gridCol w:w="33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 xml:space="preserve">Emerging growth company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5"/>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6" w:space="1" w:color="000000"/>
        </w:pBdr>
        <w:bidi w:val="0"/>
        <w:jc w:val="left"/>
        <w:rPr/>
      </w:pPr>
      <w:r>
        <w:rPr/>
        <w:t> </w:t>
      </w:r>
    </w:p>
    <w:p>
      <w:pPr>
        <w:pStyle w:val="TextBody"/>
        <w:pBdr>
          <w:bottom w:val="sing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both"/>
        <w:rPr>
          <w:rFonts w:ascii="Times New Roman" w:hAnsi="Times New Roman"/>
          <w:color w:val="000000"/>
          <w:sz w:val="20"/>
        </w:rPr>
      </w:pPr>
      <w:r>
        <w:rPr>
          <w:rFonts w:ascii="Times New Roman" w:hAnsi="Times New Roman"/>
          <w:color w:val="000000"/>
          <w:sz w:val="20"/>
        </w:rPr>
        <w:t xml:space="preserve">This Registration Statement on Form S-8 (the “Registration Statement”) is filed by Arcadia Biosciences, Inc. (the “Company” or the “Registrant”) for the purpose of registering 400,000 shares of the Company’s common stock, $0.001 par value per share (“Common Stock”), that are available for issuance pursuant to the Company’s 2026 Omnibus Equity Incentive Plan (the “Plan”), which was approved by the Company’s stockholders on September 10, 2026. </w:t>
      </w:r>
    </w:p>
    <w:p>
      <w:pPr>
        <w:pStyle w:val="TextBody"/>
        <w:bidi w:val="0"/>
        <w:jc w:val="center"/>
        <w:rPr/>
      </w:pPr>
      <w:r>
        <w:rPr/>
        <w:t> </w:t>
      </w:r>
    </w:p>
    <w:p>
      <w:pPr>
        <w:pStyle w:val="TextBody"/>
        <w:bidi w:val="0"/>
        <w:jc w:val="center"/>
        <w:rPr>
          <w:rFonts w:ascii="Times New Roman" w:hAnsi="Times New Roman"/>
          <w:b/>
          <w:color w:val="000000"/>
          <w:sz w:val="20"/>
        </w:rPr>
      </w:pPr>
      <w:bookmarkStart w:id="2" w:name="parti_011532"/>
      <w:bookmarkEnd w:id="2"/>
      <w:r>
        <w:rPr>
          <w:rFonts w:ascii="Times New Roman" w:hAnsi="Times New Roman"/>
          <w:b/>
          <w:color w:val="000000"/>
          <w:sz w:val="20"/>
        </w:rPr>
        <w:t>PART I</w:t>
      </w:r>
    </w:p>
    <w:p>
      <w:pPr>
        <w:pStyle w:val="TextBody"/>
        <w:bidi w:val="0"/>
        <w:jc w:val="center"/>
        <w:rPr/>
      </w:pPr>
      <w:r>
        <w:rPr/>
        <w:t> </w:t>
      </w:r>
    </w:p>
    <w:p>
      <w:pPr>
        <w:pStyle w:val="TextBody"/>
        <w:bidi w:val="0"/>
        <w:jc w:val="center"/>
        <w:rPr>
          <w:rFonts w:ascii="Times New Roman" w:hAnsi="Times New Roman"/>
          <w:b/>
          <w:color w:val="000000"/>
          <w:sz w:val="20"/>
        </w:rPr>
      </w:pPr>
      <w:bookmarkStart w:id="3" w:name="informationrequiredinthesection10_011535"/>
      <w:bookmarkEnd w:id="3"/>
      <w:r>
        <w:rPr>
          <w:rFonts w:ascii="Times New Roman" w:hAnsi="Times New Roman"/>
          <w:b/>
          <w:color w:val="000000"/>
          <w:sz w:val="20"/>
        </w:rPr>
        <w:t>Information Required in the Section 10(a) Prospectus</w:t>
      </w:r>
    </w:p>
    <w:p>
      <w:pPr>
        <w:pStyle w:val="TextBody"/>
        <w:bidi w:val="0"/>
        <w:jc w:val="left"/>
        <w:rPr>
          <w:rFonts w:ascii="Times New Roman" w:hAnsi="Times New Roman"/>
          <w:color w:val="000000"/>
          <w:sz w:val="20"/>
        </w:rPr>
      </w:pPr>
      <w:r>
        <w:rPr>
          <w:rFonts w:ascii="Times New Roman" w:hAnsi="Times New Roman"/>
          <w:color w:val="000000"/>
          <w:sz w:val="20"/>
        </w:rPr>
        <w:t xml:space="preserve">The information specified in Item 1 and Item 2 of Part I of Form S-8 is omitted from this Registration Statement in accordance with the provisions of Rule 428 under the Securities Act of 1933, as amended (the “Securities Act”), and the introductory note to Part I of the Registration on Form S-8. The documents containing the information specified in Part I will be delivered to the participants in the Plan covered by this Registration Statement as required by Rule 428(b)(1).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spacing w:before="24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documents filed by Registrant with the Securities and Exchange Commission (the “SEC” or the “Commission”) are incorporated by reference into this Registration Statement: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 for the fiscal year ended December 31, 2025</w:t>
        </w:r>
      </w:hyperlink>
      <w:r>
        <w:rPr>
          <w:rFonts w:ascii="Times New Roman" w:hAnsi="Times New Roman"/>
          <w:color w:val="000000"/>
          <w:sz w:val="20"/>
        </w:rPr>
        <w:t>, filed with the SEC on March 26, 2026 (the “Annual Report”);</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Amendment No. 1 to the Registrant’s Annual Report on </w:t>
      </w:r>
      <w:hyperlink r:id="rId3">
        <w:r>
          <w:rPr>
            <w:rStyle w:val="InternetLink"/>
            <w:rFonts w:ascii="Times New Roman" w:hAnsi="Times New Roman"/>
            <w:color w:val="0000FF"/>
            <w:sz w:val="20"/>
            <w:u w:val="single"/>
          </w:rPr>
          <w:t>Form 10-K/A for the fiscal year ended December 31, 2025</w:t>
        </w:r>
      </w:hyperlink>
      <w:r>
        <w:rPr>
          <w:rFonts w:ascii="Times New Roman" w:hAnsi="Times New Roman"/>
          <w:color w:val="000000"/>
          <w:sz w:val="20"/>
        </w:rPr>
        <w:t>, filed with the SEC on April 30, 2026;</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information specifically incorporated by reference into the Registrant’s Annual Report on Form 10-K for the fiscal year ended December 31, 2025, from the Registrant’s </w:t>
      </w:r>
      <w:hyperlink r:id="rId4">
        <w:r>
          <w:rPr>
            <w:rStyle w:val="InternetLink"/>
            <w:rFonts w:ascii="Times New Roman" w:hAnsi="Times New Roman"/>
            <w:color w:val="0000FF"/>
            <w:sz w:val="20"/>
            <w:u w:val="single"/>
          </w:rPr>
          <w:t>Definitive Proxy Statement on Schedule 14A</w:t>
        </w:r>
      </w:hyperlink>
      <w:r>
        <w:rPr>
          <w:rFonts w:ascii="Times New Roman" w:hAnsi="Times New Roman"/>
          <w:color w:val="000000"/>
          <w:sz w:val="20"/>
        </w:rPr>
        <w:t>, filed with the SEC on August 10, 2026;</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Registrant’s Quarterly Reports on Form 10-Q for the fiscal quarters ended </w:t>
      </w:r>
      <w:hyperlink r:id="rId5">
        <w:r>
          <w:rPr>
            <w:rStyle w:val="InternetLink"/>
            <w:rFonts w:ascii="Times New Roman" w:hAnsi="Times New Roman"/>
            <w:color w:val="0000FF"/>
            <w:sz w:val="20"/>
            <w:u w:val="single"/>
          </w:rPr>
          <w:t>March 31, 2026</w:t>
        </w:r>
      </w:hyperlink>
      <w:r>
        <w:rPr>
          <w:rFonts w:ascii="Times New Roman" w:hAnsi="Times New Roman"/>
          <w:color w:val="000000"/>
          <w:sz w:val="20"/>
        </w:rPr>
        <w:t xml:space="preserve"> and </w:t>
      </w:r>
      <w:hyperlink r:id="rId6">
        <w:r>
          <w:rPr>
            <w:rStyle w:val="InternetLink"/>
            <w:rFonts w:ascii="Times New Roman" w:hAnsi="Times New Roman"/>
            <w:color w:val="0000FF"/>
            <w:sz w:val="20"/>
            <w:u w:val="single"/>
          </w:rPr>
          <w:t>June 30, 2026</w:t>
        </w:r>
      </w:hyperlink>
      <w:r>
        <w:rPr>
          <w:rFonts w:ascii="Times New Roman" w:hAnsi="Times New Roman"/>
          <w:color w:val="000000"/>
          <w:sz w:val="20"/>
        </w:rPr>
        <w:t>, filed with the SEC on May 14, 2026, and August 13, 2026, respectively;</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Registrant’s Current Reports on Form 8-K filed with the SEC on </w:t>
      </w:r>
      <w:hyperlink r:id="rId7">
        <w:r>
          <w:rPr>
            <w:rStyle w:val="InternetLink"/>
            <w:rFonts w:ascii="Times New Roman" w:hAnsi="Times New Roman"/>
            <w:color w:val="0000FF"/>
            <w:sz w:val="20"/>
            <w:u w:val="single"/>
          </w:rPr>
          <w:t>January 14,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February 6,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March 26,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April 3,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May 14, 2026</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June 15, 2026</w:t>
        </w:r>
      </w:hyperlink>
      <w:r>
        <w:rPr>
          <w:rFonts w:ascii="Times New Roman" w:hAnsi="Times New Roman"/>
          <w:color w:val="000000"/>
          <w:sz w:val="20"/>
        </w:rPr>
        <w:t xml:space="preserve">, </w:t>
      </w:r>
      <w:hyperlink r:id="rId13">
        <w:r>
          <w:rPr>
            <w:rStyle w:val="InternetLink"/>
            <w:rFonts w:ascii="Times New Roman" w:hAnsi="Times New Roman"/>
            <w:color w:val="0000FF"/>
            <w:sz w:val="20"/>
            <w:u w:val="single"/>
          </w:rPr>
          <w:t>July 2, 2026</w:t>
        </w:r>
      </w:hyperlink>
      <w:r>
        <w:rPr>
          <w:rFonts w:ascii="Times New Roman" w:hAnsi="Times New Roman"/>
          <w:color w:val="000000"/>
          <w:sz w:val="20"/>
        </w:rPr>
        <w:t xml:space="preserve">, </w:t>
      </w:r>
      <w:hyperlink r:id="rId14">
        <w:r>
          <w:rPr>
            <w:rStyle w:val="InternetLink"/>
            <w:rFonts w:ascii="Times New Roman" w:hAnsi="Times New Roman"/>
            <w:color w:val="0000FF"/>
            <w:sz w:val="20"/>
            <w:u w:val="single"/>
          </w:rPr>
          <w:t>August 10, 2026</w:t>
        </w:r>
      </w:hyperlink>
      <w:r>
        <w:rPr>
          <w:rFonts w:ascii="Times New Roman" w:hAnsi="Times New Roman"/>
          <w:color w:val="000000"/>
          <w:sz w:val="20"/>
        </w:rPr>
        <w:t xml:space="preserve">, </w:t>
      </w:r>
      <w:hyperlink r:id="rId15">
        <w:r>
          <w:rPr>
            <w:rStyle w:val="InternetLink"/>
            <w:rFonts w:ascii="Times New Roman" w:hAnsi="Times New Roman"/>
            <w:color w:val="0000FF"/>
            <w:sz w:val="20"/>
            <w:u w:val="single"/>
          </w:rPr>
          <w:t>August 13, 2026</w:t>
        </w:r>
      </w:hyperlink>
      <w:r>
        <w:rPr>
          <w:rFonts w:ascii="Times New Roman" w:hAnsi="Times New Roman"/>
          <w:color w:val="000000"/>
          <w:sz w:val="20"/>
        </w:rPr>
        <w:t xml:space="preserve">, </w:t>
      </w:r>
      <w:hyperlink r:id="rId16">
        <w:r>
          <w:rPr>
            <w:rStyle w:val="InternetLink"/>
            <w:rFonts w:ascii="Times New Roman" w:hAnsi="Times New Roman"/>
            <w:color w:val="0000FF"/>
            <w:sz w:val="20"/>
            <w:u w:val="single"/>
          </w:rPr>
          <w:t>September 4, 2026</w:t>
        </w:r>
      </w:hyperlink>
      <w:r>
        <w:rPr>
          <w:rFonts w:ascii="Times New Roman" w:hAnsi="Times New Roman"/>
          <w:color w:val="000000"/>
          <w:sz w:val="20"/>
        </w:rPr>
        <w:t xml:space="preserve">, and </w:t>
      </w:r>
      <w:hyperlink r:id="rId17">
        <w:r>
          <w:rPr>
            <w:rStyle w:val="InternetLink"/>
            <w:rFonts w:ascii="Times New Roman" w:hAnsi="Times New Roman"/>
            <w:color w:val="0000FF"/>
            <w:sz w:val="20"/>
            <w:u w:val="single"/>
          </w:rPr>
          <w:t>September 15, 2026</w:t>
        </w:r>
      </w:hyperlink>
      <w:r>
        <w:rPr>
          <w:rFonts w:ascii="Times New Roman" w:hAnsi="Times New Roman"/>
          <w:color w:val="000000"/>
          <w:sz w:val="20"/>
        </w:rPr>
        <w: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reports filed pursuant to Section 13(a) or 15(d) of the Exchange Act since the end of the fiscal year covered by the Annual Report; and</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20"/>
        </w:rPr>
        <w:t xml:space="preserve">The description of the Registrant’s common stock contained in the Registrant’s Registration Statement on Form 8-A, filed with the Commission on February 17, 2015, including any amendments or reports filed for purposes of updating such description, including </w:t>
      </w:r>
      <w:hyperlink r:id="rId18">
        <w:r>
          <w:rPr>
            <w:rStyle w:val="InternetLink"/>
            <w:rFonts w:ascii="Times New Roman" w:hAnsi="Times New Roman"/>
            <w:color w:val="0000FF"/>
            <w:sz w:val="20"/>
            <w:u w:val="single"/>
          </w:rPr>
          <w:t>Exhibit 4.15 to the Annual Report</w:t>
        </w:r>
      </w:hyperlink>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except as to documents or information deemed to have been furnished and not filed in accordance with the rules of the Commission. Unless expressly incorporated into this Registration Statement, a report or a portion of a report furnished on Form 8-K prior or subsequent to the date hereof shall not be incorporated by reference into this Registration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240" w:after="283"/>
        <w:jc w:val="left"/>
        <w:rPr>
          <w:rFonts w:ascii="Times New Roman" w:hAnsi="Times New Roman"/>
          <w:b/>
          <w:color w:val="000000"/>
          <w:sz w:val="20"/>
        </w:rPr>
      </w:pPr>
      <w:bookmarkStart w:id="4" w:name="item4_descriptionofsecurities__011543"/>
      <w:bookmarkEnd w:id="4"/>
      <w:r>
        <w:rPr>
          <w:rFonts w:ascii="Times New Roman" w:hAnsi="Times New Roman"/>
          <w:b/>
          <w:color w:val="000000"/>
          <w:sz w:val="20"/>
        </w:rPr>
        <w:t>Item 4. Description of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5" w:name="item5_interestsofnamedexpertsandc_011545"/>
      <w:bookmarkEnd w:id="5"/>
      <w:r>
        <w:rPr>
          <w:rFonts w:ascii="Times New Roman" w:hAnsi="Times New Roman"/>
          <w:b/>
          <w:color w:val="000000"/>
          <w:sz w:val="20"/>
        </w:rPr>
        <w:t>Item 5. Interests of Named Experts and Counsel.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6" w:name="item6_indemnificationofdirectorsa_011546"/>
      <w:bookmarkEnd w:id="6"/>
      <w:r>
        <w:rPr>
          <w:rFonts w:ascii="Times New Roman" w:hAnsi="Times New Roman"/>
          <w:b/>
          <w:color w:val="000000"/>
          <w:sz w:val="20"/>
        </w:rPr>
        <w:t>Item 6. Indemnification of Directors and Officers.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corporation, or is or was serving at the request of the corporation as a director, officer, employee or agent of another corporation, partnership, joint venture, trust or other enterprise, subject to certain limitations. The terms of Section 145 of the DGCL are sufficiently broad to permit indemnification under certain circumstances for liabilities, including reimbursement of expenses incurred, arising under the Securities Act. The DGCL provides that Section 145 is not exclusive of other rights to which those seeking indemnification may be entitled under any bylaws, agreement, vote of stockholders or disinterested directors or otherwise. The Registrant’s amended and restated certificate of incorporation (the “Charter”) and amended and restated bylaws (the “Restated Bylaws”) provide for indemnification by the Registrant of its directors and officers to the fullest extent permitted by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a director, under Section 174 of the DGCL (regarding unlawful dividends, distributions, redemptions and stock purchases), (4) for any transaction from which the director or officer derived an improper personal benefit, or (5) for an officer, in any action by or in the right of the Registrant. The Charter provides for such limitation of liability to the fullest extent permitted by the DGCL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Restated Bylaws provide that the Registrant must indemnify its directors and executive officers and may indemnify its employees and other agents to the fullest extent permitted by the DGCL, subject to very limited exceptions.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entered into indemnification agreements with its directors and executive officers, in addition to the indemnification provided for in its Charter and Restated Bylaws, and intends to enter into indemnification agreements with any new directors and executive officers in the future. The indemnification provisions in the Charter, Restated Bylaws, and the indemnification agreements entered into between the Registrant and each of its directors and executive officers may be sufficiently broad to permit indemnification of the Registrant’s directors and executive officers for liabilities arising under the Securities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 has purchased and intends to maintain insurance on behalf of each and any person who is or was a director or officer of the Registrant against any loss arising from any claim asserted against him or her and incurred by him or her in any such capacity, subject to certain exclusions.</w:t>
      </w:r>
    </w:p>
    <w:p>
      <w:pPr>
        <w:pStyle w:val="TextBody"/>
        <w:bidi w:val="0"/>
        <w:spacing w:before="240" w:after="283"/>
        <w:jc w:val="left"/>
        <w:rPr>
          <w:rFonts w:ascii="Times New Roman" w:hAnsi="Times New Roman"/>
          <w:b/>
          <w:color w:val="000000"/>
          <w:sz w:val="20"/>
        </w:rPr>
      </w:pPr>
      <w:bookmarkStart w:id="7" w:name="item7_exemptionfromregistrationcl_011553"/>
      <w:bookmarkEnd w:id="7"/>
      <w:r>
        <w:rPr>
          <w:rFonts w:ascii="Times New Roman" w:hAnsi="Times New Roman"/>
          <w:b/>
          <w:color w:val="000000"/>
          <w:sz w:val="20"/>
        </w:rPr>
        <w:t>Item 7. Exemption from Registration Claimed.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3"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Amended and Restated Certificate of Incorporation (previously filed as Exhibit 3.1 to the Registrant’s Current Report on Form 8-K filed on May 26, 2015 and incorporated herein by reference).</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Certificate of Amendment to the Certificate of Incorporation (previously filed as Exhibit 3.1 to the Registrant’s Current Report on Form 8-K filed on February 28, 2023 and incorporated herein by reference).</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Amended and Restated Bylaws (previously filed as Exhibit 3.2 to the Registrant’s Current Report on Form 8-K filed on May 26, 2015 and incorporated herein by reference).</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to the Amended and Restated Bylaws (previously filed as Exhibit 3.2 to the Registrant’s Current Report on Form 8-K filed on December 8, 2022 and incorporated herein by reference).</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kda-ex5_1.htm">
              <w:r>
                <w:rPr>
                  <w:rStyle w:val="InternetLink"/>
                  <w:rFonts w:ascii="Times New Roman" w:hAnsi="Times New Roman"/>
                  <w:color w:val="0000FF"/>
                  <w:sz w:val="20"/>
                  <w:u w:val="single"/>
                </w:rPr>
                <w:t>Opinion of Weintraub Tobin Chediak Coleman Grodin Law Corporation.</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2026 Omnibus Equity Incentive Plan and forms of option agreements thereunder (previously filed as Exhibits 10.1 to the Registrant’s Current Report on Form 8-K filed on September 15, 2026 and incorporated herein by reference).</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kda-ex23_1.htm">
              <w:r>
                <w:rPr>
                  <w:rStyle w:val="InternetLink"/>
                  <w:rFonts w:ascii="Times New Roman" w:hAnsi="Times New Roman"/>
                  <w:color w:val="0000FF"/>
                  <w:sz w:val="20"/>
                  <w:u w:val="single"/>
                </w:rPr>
                <w:t>Consent of Deloitte &amp; Touche LLP, independent registered public accounting firm.</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kda-ex5_1.htm">
              <w:r>
                <w:rPr>
                  <w:rStyle w:val="InternetLink"/>
                  <w:rFonts w:ascii="Times New Roman" w:hAnsi="Times New Roman"/>
                  <w:color w:val="0000FF"/>
                  <w:sz w:val="20"/>
                  <w:u w:val="single"/>
                </w:rPr>
                <w:t>Consent of Weintraub Tobin Chediak Coleman Grodin Law Corporation (included in Exhibit 5.1).</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the signature page to this Form S-8).</w:t>
              </w:r>
            </w:hyperlink>
          </w:p>
        </w:tc>
      </w:tr>
      <w:tr>
        <w:trPr/>
        <w:tc>
          <w:tcPr>
            <w:tcW w:w="6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kda-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sz w:val="20"/>
        </w:rPr>
      </w:pPr>
      <w:bookmarkStart w:id="8" w:name="item9_undertakings__011600"/>
      <w:bookmarkEnd w:id="8"/>
      <w:r>
        <w:rPr>
          <w:rFonts w:ascii="Times New Roman" w:hAnsi="Times New Roman"/>
          <w:b/>
          <w:color w:val="000000"/>
          <w:sz w:val="20"/>
        </w:rPr>
        <w:t>Item 9. Undertakings.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The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 230.424(b) of this chapter) if, in the aggregate, the changes in volume and price represent no more than 20% change in the maximum aggregate offering price set forth in the “Calculation of Registration Fee” table in the effective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Provided, however, that paragraphs (a)(1)(i) and (a)(1)(ii)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The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spacing w:lineRule="auto" w:line="360"/>
        <w:jc w:val="left"/>
        <w:rPr>
          <w:rFonts w:ascii="Times New Roman" w:hAnsi="Times New Roman"/>
          <w:sz w:val="13"/>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Dallas, State of Texas, on this 30</w:t>
      </w:r>
      <w:r>
        <w:rPr>
          <w:rFonts w:ascii="Times New Roman" w:hAnsi="Times New Roman"/>
          <w:color w:val="000000"/>
          <w:sz w:val="13"/>
        </w:rPr>
        <w:t xml:space="preserve">th </w:t>
      </w:r>
      <w:r>
        <w:rPr>
          <w:rFonts w:ascii="Times New Roman" w:hAnsi="Times New Roman"/>
          <w:color w:val="000000"/>
          <w:sz w:val="20"/>
        </w:rPr>
        <w:t>day of September, 2026.</w:t>
      </w:r>
    </w:p>
    <w:tbl>
      <w:tblPr>
        <w:tblW w:w="6411" w:type="dxa"/>
        <w:jc w:val="left"/>
        <w:tblInd w:w="0" w:type="dxa"/>
        <w:tblLayout w:type="fixed"/>
        <w:tblCellMar>
          <w:top w:w="28" w:type="dxa"/>
          <w:left w:w="28" w:type="dxa"/>
          <w:bottom w:w="28" w:type="dxa"/>
          <w:right w:w="28" w:type="dxa"/>
        </w:tblCellMar>
      </w:tblPr>
      <w:tblGrid>
        <w:gridCol w:w="646"/>
        <w:gridCol w:w="109"/>
        <w:gridCol w:w="56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6" w:type="dxa"/>
            <w:tcBorders/>
            <w:vAlign w:val="center"/>
          </w:tcPr>
          <w:p>
            <w:pPr>
              <w:pStyle w:val="TableContents"/>
              <w:bidi w:val="0"/>
              <w:spacing w:before="0" w:after="283"/>
              <w:jc w:val="left"/>
              <w:rPr>
                <w:sz w:val="4"/>
                <w:szCs w:val="4"/>
              </w:rPr>
            </w:pPr>
            <w:r>
              <w:rPr>
                <w:sz w:val="4"/>
                <w:szCs w:val="4"/>
              </w:rPr>
            </w:r>
          </w:p>
        </w:tc>
      </w:tr>
      <w:tr>
        <w:trPr/>
        <w:tc>
          <w:tcPr>
            <w:tcW w:w="6411" w:type="dxa"/>
            <w:gridSpan w:val="3"/>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ARCADIA BIOSCIENCES,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6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THOMAS J. SCHAEFER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J. Schaefer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Financial and Accounting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9" w:name="power_attorney"/>
      <w:bookmarkEnd w:id="9"/>
      <w:r>
        <w:rPr>
          <w:rFonts w:ascii="Times New Roman" w:hAnsi="Times New Roman"/>
          <w:b/>
          <w:color w:val="000000"/>
          <w:sz w:val="20"/>
        </w:rPr>
        <w:t>POWER OF ATTORNEY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KNOW ALL PERSONS BY THESE PRESENTS, that each individual whose signature appears below constitutes and appoints each of Thomas J. Schaefer and Kevin Comcowich as his or her true and lawful attorney-in-fact and agent, with the power of 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such attorney-in-fact and agent, or any substitute or substitutes for him, may lawfully do or cause to be done by virtue hereof.</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2373"/>
        <w:gridCol w:w="146"/>
        <w:gridCol w:w="6171"/>
        <w:gridCol w:w="146"/>
        <w:gridCol w:w="1369"/>
      </w:tblGrid>
      <w:tr>
        <w:trPr/>
        <w:tc>
          <w:tcPr>
            <w:tcW w:w="2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237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J. SCHAEFER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J. Schaefer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Chief Executive Officer, Interim Chief Financial Officer (Principal Executive Officer, 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r>
      <w:tr>
        <w:trPr/>
        <w:tc>
          <w:tcPr>
            <w:tcW w:w="23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COMCOWICH</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Kevin Comcowich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LILIAN SHACKELFORD MURRAY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Lilian Shackelford Murray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r>
      <w:tr>
        <w:trPr/>
        <w:tc>
          <w:tcPr>
            <w:tcW w:w="2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GREGORY D. WALLER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Gregory D. Waller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r>
      <w:tr>
        <w:trPr/>
        <w:tc>
          <w:tcPr>
            <w:tcW w:w="2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AMY YODER</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37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Amy Yoder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2026</w:t>
            </w:r>
          </w:p>
        </w:tc>
      </w:tr>
      <w:tr>
        <w:trPr/>
        <w:tc>
          <w:tcPr>
            <w:tcW w:w="23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rkda-ex5_1.htm"/>
      <w:bookmarkStart w:id="11" w:name="ksrkdaex5_1"/>
      <w:bookmarkEnd w:id="10"/>
      <w:bookmarkEnd w:id="1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September 30,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Arcadia Biosciences, Inc.</w:t>
        <w:br/>
        <w:t>5956 Sherry Lane, Suite 2000</w:t>
      </w:r>
    </w:p>
    <w:p>
      <w:pPr>
        <w:pStyle w:val="TextBody"/>
        <w:bidi w:val="0"/>
        <w:jc w:val="left"/>
        <w:rPr>
          <w:rFonts w:ascii="Times New Roman" w:hAnsi="Times New Roman"/>
          <w:color w:val="000000"/>
          <w:sz w:val="20"/>
        </w:rPr>
      </w:pPr>
      <w:r>
        <w:rPr>
          <w:rFonts w:ascii="Times New Roman" w:hAnsi="Times New Roman"/>
          <w:color w:val="000000"/>
          <w:sz w:val="20"/>
        </w:rPr>
        <w:t>Dallas, TX 75225</w:t>
      </w:r>
    </w:p>
    <w:p>
      <w:pPr>
        <w:pStyle w:val="TextBody"/>
        <w:bidi w:val="0"/>
        <w:spacing w:before="0" w:after="12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Registration Statement on Form S-8</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120"/>
        <w:jc w:val="both"/>
        <w:rPr>
          <w:rFonts w:ascii="Times New Roman" w:hAnsi="Times New Roman"/>
          <w:sz w:val="20"/>
        </w:rPr>
      </w:pPr>
      <w:r>
        <w:rPr>
          <w:rFonts w:ascii="Times New Roman" w:hAnsi="Times New Roman"/>
          <w:color w:val="000000"/>
          <w:sz w:val="20"/>
        </w:rPr>
        <w:t>At your request, we have examined the Registration Statement on Form S-8 (the “</w:t>
      </w:r>
      <w:r>
        <w:rPr>
          <w:rFonts w:ascii="Times New Roman" w:hAnsi="Times New Roman"/>
          <w:color w:val="000000"/>
          <w:sz w:val="20"/>
          <w:u w:val="single"/>
        </w:rPr>
        <w:t>Registration Statement</w:t>
      </w:r>
      <w:r>
        <w:rPr>
          <w:rFonts w:ascii="Times New Roman" w:hAnsi="Times New Roman"/>
          <w:color w:val="000000"/>
          <w:sz w:val="20"/>
        </w:rPr>
        <w:t>”) to be filed by Arcadia Biosciences, Inc., a Delaware corporation (the “</w:t>
      </w:r>
      <w:r>
        <w:rPr>
          <w:rFonts w:ascii="Times New Roman" w:hAnsi="Times New Roman"/>
          <w:color w:val="000000"/>
          <w:sz w:val="20"/>
          <w:u w:val="single"/>
        </w:rPr>
        <w:t>Company</w:t>
      </w:r>
      <w:r>
        <w:rPr>
          <w:rFonts w:ascii="Times New Roman" w:hAnsi="Times New Roman"/>
          <w:color w:val="000000"/>
          <w:sz w:val="20"/>
        </w:rPr>
        <w:t>”), with the Securities and Exchange Commission (the “</w:t>
      </w:r>
      <w:r>
        <w:rPr>
          <w:rFonts w:ascii="Times New Roman" w:hAnsi="Times New Roman"/>
          <w:color w:val="000000"/>
          <w:sz w:val="20"/>
          <w:u w:val="single"/>
        </w:rPr>
        <w:t>Commission</w:t>
      </w:r>
      <w:r>
        <w:rPr>
          <w:rFonts w:ascii="Times New Roman" w:hAnsi="Times New Roman"/>
          <w:color w:val="000000"/>
          <w:sz w:val="20"/>
        </w:rPr>
        <w:t>”) on or about September 30, 2026, in connection with the registration under the Securities Act of 1933, as amended (the “</w:t>
      </w:r>
      <w:r>
        <w:rPr>
          <w:rFonts w:ascii="Times New Roman" w:hAnsi="Times New Roman"/>
          <w:color w:val="000000"/>
          <w:sz w:val="20"/>
          <w:u w:val="single"/>
        </w:rPr>
        <w:t>Securities Act</w:t>
      </w:r>
      <w:r>
        <w:rPr>
          <w:rFonts w:ascii="Times New Roman" w:hAnsi="Times New Roman"/>
          <w:color w:val="000000"/>
          <w:sz w:val="20"/>
        </w:rPr>
        <w:t xml:space="preserve">”), of 400,000 shares of the Company’s Common Stock, par value $0.001 per share (the </w:t>
      </w:r>
      <w:r>
        <w:rPr>
          <w:rFonts w:ascii="Times New Roman" w:hAnsi="Times New Roman"/>
          <w:color w:val="000000"/>
          <w:sz w:val="20"/>
          <w:u w:val="single"/>
        </w:rPr>
        <w:t>Common Stock</w:t>
      </w:r>
      <w:r>
        <w:rPr>
          <w:rFonts w:ascii="Times New Roman" w:hAnsi="Times New Roman"/>
          <w:color w:val="000000"/>
          <w:sz w:val="20"/>
        </w:rPr>
        <w:t>”) reserved for issuance pursuant to the Company’s 2026 Omnibus Equity Incentive Plan (the “</w:t>
      </w:r>
      <w:r>
        <w:rPr>
          <w:rFonts w:ascii="Times New Roman" w:hAnsi="Times New Roman"/>
          <w:color w:val="000000"/>
          <w:sz w:val="20"/>
          <w:u w:val="single"/>
        </w:rPr>
        <w:t>Plan</w:t>
      </w:r>
      <w:r>
        <w:rPr>
          <w:rFonts w:ascii="Times New Roman" w:hAnsi="Times New Roman"/>
          <w:color w:val="000000"/>
          <w:sz w:val="20"/>
        </w:rPr>
        <w:t>” and which shares of Common Stock are referred to herein as the “</w:t>
      </w:r>
      <w:r>
        <w:rPr>
          <w:rFonts w:ascii="Times New Roman" w:hAnsi="Times New Roman"/>
          <w:color w:val="000000"/>
          <w:sz w:val="20"/>
          <w:u w:val="single"/>
        </w:rPr>
        <w:t>Shares</w:t>
      </w:r>
      <w:r>
        <w:rPr>
          <w:rFonts w:ascii="Times New Roman" w:hAnsi="Times New Roman"/>
          <w:color w:val="000000"/>
          <w:sz w:val="20"/>
        </w:rPr>
        <w:t>”). This opinion is being furnished in accordance with the requirements of Item 8 of Form S-8 and Item 601(b)(5)(i) of Regulation 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rendering this opinion, we have examined such documents, certificates and records as we have deemed appropriate for purposes of this letter.</w:t>
      </w:r>
    </w:p>
    <w:p>
      <w:pPr>
        <w:pStyle w:val="TextBody"/>
        <w:bidi w:val="0"/>
        <w:spacing w:before="0" w:after="120"/>
        <w:jc w:val="both"/>
        <w:rPr>
          <w:rFonts w:ascii="Times New Roman" w:hAnsi="Times New Roman"/>
          <w:sz w:val="20"/>
        </w:rPr>
      </w:pPr>
      <w:r>
        <w:rPr>
          <w:rFonts w:ascii="Times New Roman" w:hAnsi="Times New Roman"/>
          <w:color w:val="000000"/>
          <w:sz w:val="20"/>
        </w:rPr>
        <w:t>In our examination of documents for purposes of this opinion, we have assumed, and express no opinion as to, the genuineness of all signatures on original documents, the authenticity of all documents submitted to us as originals, the conformity to originals of all documents submitted to us as copies, the legal capacity of all persons or entities executing the same, the lack of any undisclosed termination, modification, waiver or amendment to any document reviewed by us and the due authorization, execution and delivery of all documents where due authorization, execution and delivery are prerequisites to the effectiveness thereof. We have also assumed the conformity of the documents filed with the Commission via the Electronic Data Gathering, Analysis and Retrieval System (“</w:t>
      </w:r>
      <w:r>
        <w:rPr>
          <w:rFonts w:ascii="Times New Roman" w:hAnsi="Times New Roman"/>
          <w:b/>
          <w:color w:val="000000"/>
          <w:sz w:val="20"/>
          <w:u w:val="single"/>
        </w:rPr>
        <w:t>EDGAR</w:t>
      </w:r>
      <w:r>
        <w:rPr>
          <w:rFonts w:ascii="Times New Roman" w:hAnsi="Times New Roman"/>
          <w:color w:val="000000"/>
          <w:sz w:val="20"/>
        </w:rPr>
        <w:t>”), except for required EDGAR formatting changes, to physical copies submitted for our examination.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to matters of fact relevant to this opinion, we have relied solely upon the foregoing and upon certificates and other assurances of officers of the Company and others as to factual matters, without having independently verified such factual matters; however, we are not aware of any facts that would cause us to believe that the opinion expressed herein is not accurate.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admitted to practice law in the State of California, and we render this opinion only with respect to, and express no opinion herein with concerning the application or effect of the laws of any jurisdiction other than, the existing laws of the United States of America, of the State of California and of the Delaware General Corporation Law now in effect.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our opinion expressed below, we have assumed that, at or before the time of the delivery of any Shares, the Registration Statement will have been declared effective under the Securities Act, that the Registration Statement will remain effective, apply to such Shares and not have been suspended, modified or rescinded and that there will not have occurred any change in law affecting the validity of the issuance of such Shares.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Based on the foregoing, and subject to the qualifications stated herein, we are of the opinion that the Shares to be issued pursuant to the terms of the Plan have been duly authorized and, when issued, delivered and paid for in accordance with the terms of the Plan, will be validly issued, fully paid and non-assessable.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consent to the use of this opinion as an exhibit to the Registration Statement and further consent to all references to us, if any, in the Registration Statement, the prospectus constituting a part thereof and any amendments thereto. We do not thereby admit that we are within the category of persons whose consent is required under Section 7 of the Securities Act or the rules and regulations of the Commission thereunder. This opinion speaks only as of its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date and we assume no obligation to update this opinion should circumstances change after the date hereof. This opinion is intended solely for your use in connection with issuance and sale of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or the facts that may hereafter be brought to our attention whether or not such occurrence would affect or modify the opinions expressed herein.</w:t>
      </w:r>
    </w:p>
    <w:tbl>
      <w:tblPr>
        <w:tblW w:w="5772" w:type="dxa"/>
        <w:jc w:val="left"/>
        <w:tblInd w:w="0" w:type="dxa"/>
        <w:tblLayout w:type="fixed"/>
        <w:tblCellMar>
          <w:top w:w="28" w:type="dxa"/>
          <w:left w:w="28" w:type="dxa"/>
          <w:bottom w:w="28" w:type="dxa"/>
          <w:right w:w="28" w:type="dxa"/>
        </w:tblCellMar>
      </w:tblPr>
      <w:tblGrid>
        <w:gridCol w:w="5581"/>
        <w:gridCol w:w="191"/>
      </w:tblGrid>
      <w:tr>
        <w:trPr/>
        <w:tc>
          <w:tcPr>
            <w:tcW w:w="5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Very truly yours,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 Weintraub Tobin Chediak Coleman Grodin Law Corporation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Weintraub Tobin Chediak Coleman Grodin Law Corporation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2" w:name="rkda-ex23_1.htm"/>
      <w:bookmarkStart w:id="13" w:name="ksrkdaex23_1"/>
      <w:bookmarkEnd w:id="12"/>
      <w:bookmarkEnd w:id="13"/>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40"/>
        <w:jc w:val="both"/>
        <w:rPr>
          <w:rFonts w:ascii="Times New Roman" w:hAnsi="Times New Roman"/>
          <w:color w:val="231F20"/>
          <w:sz w:val="20"/>
        </w:rPr>
      </w:pPr>
      <w:r>
        <w:rPr>
          <w:rFonts w:ascii="Times New Roman" w:hAnsi="Times New Roman"/>
          <w:color w:val="231F20"/>
          <w:sz w:val="20"/>
        </w:rPr>
        <w:t xml:space="preserve">We consent to the incorporation by reference in this Registration Statement on Form S-8 of our report dated March 26, 2026 relating to the financial statements of Arcadia Biosciences, Inc., appearing in the Annual Report on Form 10-K of Arcadia Biosciences, Inc. for the year ended December 31, 2025.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/s/ Deloitte &amp; Touche LLP</w:t>
      </w:r>
    </w:p>
    <w:p>
      <w:pPr>
        <w:pStyle w:val="TextBody"/>
        <w:bidi w:val="0"/>
        <w:spacing w:before="0" w:after="240"/>
        <w:jc w:val="left"/>
        <w:rPr>
          <w:rFonts w:ascii="Times New Roman" w:hAnsi="Times New Roman"/>
          <w:sz w:val="20"/>
        </w:rPr>
      </w:pPr>
      <w:r>
        <w:rPr>
          <w:rFonts w:ascii="Times New Roman" w:hAnsi="Times New Roman"/>
          <w:color w:val="231F20"/>
          <w:sz w:val="20"/>
        </w:rPr>
        <w:t>Tempe, Arizona</w:t>
        <w:br/>
        <w:t>September 30, 2026</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4" w:name="rkda-exfiling_fees.htm"/>
      <w:bookmarkStart w:id="15" w:name="ksrkdaexfiling_fees"/>
      <w:bookmarkStart w:id="16" w:name="rkda-exfiling_fees.htm"/>
      <w:bookmarkStart w:id="17" w:name="ksrkdaexfiling_fees"/>
      <w:bookmarkEnd w:id="16"/>
      <w:bookmarkEnd w:id="17"/>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Arcadia Biosciences,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3"/>
        <w:gridCol w:w="1233"/>
        <w:gridCol w:w="1303"/>
        <w:gridCol w:w="1211"/>
        <w:gridCol w:w="1250"/>
        <w:gridCol w:w="1432"/>
        <w:gridCol w:w="1127"/>
        <w:gridCol w:w="1444"/>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3"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3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5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43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3" w:type="dxa"/>
            <w:tcBorders/>
            <w:shd w:fill="E7E7E2" w:val="clear"/>
            <w:vAlign w:val="center"/>
          </w:tcPr>
          <w:p>
            <w:pPr>
              <w:pStyle w:val="TableContents"/>
              <w:bidi w:val="0"/>
              <w:spacing w:before="0" w:after="283"/>
              <w:jc w:val="left"/>
              <w:rPr/>
            </w:pPr>
            <w:r>
              <w:rPr/>
              <w:t xml:space="preserve">Equity </w:t>
            </w:r>
          </w:p>
        </w:tc>
        <w:tc>
          <w:tcPr>
            <w:tcW w:w="1233" w:type="dxa"/>
            <w:tcBorders/>
            <w:shd w:fill="E7E7E2" w:val="clear"/>
            <w:vAlign w:val="center"/>
          </w:tcPr>
          <w:p>
            <w:pPr>
              <w:pStyle w:val="TableContents"/>
              <w:bidi w:val="0"/>
              <w:spacing w:before="0" w:after="283"/>
              <w:jc w:val="left"/>
              <w:rPr/>
            </w:pPr>
            <w:r>
              <w:rPr/>
              <w:t xml:space="preserve">Common Stock, par value $0.001 per share, to be issued under the 2026 Omnibus Equity Incentive Plan </w:t>
            </w:r>
          </w:p>
        </w:tc>
        <w:tc>
          <w:tcPr>
            <w:tcW w:w="1303" w:type="dxa"/>
            <w:tcBorders/>
            <w:shd w:fill="E7E7E2" w:val="clear"/>
            <w:vAlign w:val="center"/>
          </w:tcPr>
          <w:p>
            <w:pPr>
              <w:pStyle w:val="TableContents"/>
              <w:bidi w:val="0"/>
              <w:spacing w:before="0" w:after="283"/>
              <w:jc w:val="center"/>
              <w:rPr/>
            </w:pPr>
            <w:r>
              <w:rPr/>
              <w:t xml:space="preserve">Other </w:t>
            </w:r>
          </w:p>
        </w:tc>
        <w:tc>
          <w:tcPr>
            <w:tcW w:w="1211" w:type="dxa"/>
            <w:tcBorders/>
            <w:shd w:fill="E7E7E2" w:val="clear"/>
            <w:vAlign w:val="center"/>
          </w:tcPr>
          <w:p>
            <w:pPr>
              <w:pStyle w:val="TableContents"/>
              <w:bidi w:val="0"/>
              <w:spacing w:before="0" w:after="283"/>
              <w:jc w:val="right"/>
              <w:rPr/>
            </w:pPr>
            <w:r>
              <w:rPr/>
              <w:t xml:space="preserve">400,000 </w:t>
            </w:r>
          </w:p>
        </w:tc>
        <w:tc>
          <w:tcPr>
            <w:tcW w:w="1250" w:type="dxa"/>
            <w:tcBorders/>
            <w:shd w:fill="E7E7E2" w:val="clear"/>
            <w:vAlign w:val="center"/>
          </w:tcPr>
          <w:p>
            <w:pPr>
              <w:pStyle w:val="TableContents"/>
              <w:bidi w:val="0"/>
              <w:spacing w:before="0" w:after="283"/>
              <w:jc w:val="right"/>
              <w:rPr/>
            </w:pPr>
            <w:r>
              <w:rPr/>
              <w:t xml:space="preserve">$ 0.28 </w:t>
            </w:r>
          </w:p>
        </w:tc>
        <w:tc>
          <w:tcPr>
            <w:tcW w:w="1432" w:type="dxa"/>
            <w:tcBorders/>
            <w:shd w:fill="E7E7E2" w:val="clear"/>
            <w:vAlign w:val="center"/>
          </w:tcPr>
          <w:p>
            <w:pPr>
              <w:pStyle w:val="TableContents"/>
              <w:bidi w:val="0"/>
              <w:spacing w:before="0" w:after="283"/>
              <w:jc w:val="right"/>
              <w:rPr/>
            </w:pPr>
            <w:r>
              <w:rPr/>
              <w:t xml:space="preserve">$ 112,000.00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4" w:type="dxa"/>
            <w:tcBorders/>
            <w:shd w:fill="E7E7E2" w:val="clear"/>
            <w:vAlign w:val="center"/>
          </w:tcPr>
          <w:p>
            <w:pPr>
              <w:pStyle w:val="TableContents"/>
              <w:bidi w:val="0"/>
              <w:spacing w:before="0" w:after="283"/>
              <w:jc w:val="right"/>
              <w:rPr/>
            </w:pPr>
            <w:r>
              <w:rPr/>
              <w:t xml:space="preserve">$ 15.47 </w:t>
            </w:r>
          </w:p>
        </w:tc>
      </w:tr>
      <w:tr>
        <w:trPr/>
        <w:tc>
          <w:tcPr>
            <w:tcW w:w="4952" w:type="dxa"/>
            <w:gridSpan w:val="5"/>
            <w:tcBorders/>
            <w:vAlign w:val="center"/>
          </w:tcPr>
          <w:p>
            <w:pPr>
              <w:pStyle w:val="TableContents"/>
              <w:bidi w:val="0"/>
              <w:spacing w:before="0" w:after="0"/>
              <w:ind w:left="0" w:right="0" w:hanging="0"/>
              <w:jc w:val="right"/>
              <w:rPr/>
            </w:pPr>
            <w:r>
              <w:rPr/>
              <w:t>Total Offering Amounts:</w:t>
            </w:r>
          </w:p>
        </w:tc>
        <w:tc>
          <w:tcPr>
            <w:tcW w:w="12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0"/>
              <w:ind w:left="0" w:right="0" w:hanging="0"/>
              <w:jc w:val="right"/>
              <w:rPr/>
            </w:pPr>
            <w:bookmarkStart w:id="18" w:name="MaxAggtOfferingPrice"/>
            <w:bookmarkEnd w:id="18"/>
            <w:r>
              <w:rPr/>
              <w:t xml:space="preserve">$ 112,000.00 </w:t>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9" w:name="TotalFeeAmt"/>
            <w:bookmarkEnd w:id="19"/>
            <w:r>
              <w:rPr/>
              <w:t xml:space="preserve">$ 15.47 </w:t>
            </w:r>
          </w:p>
        </w:tc>
      </w:tr>
      <w:tr>
        <w:trPr/>
        <w:tc>
          <w:tcPr>
            <w:tcW w:w="4952" w:type="dxa"/>
            <w:gridSpan w:val="5"/>
            <w:tcBorders/>
            <w:vAlign w:val="center"/>
          </w:tcPr>
          <w:p>
            <w:pPr>
              <w:pStyle w:val="TableContents"/>
              <w:bidi w:val="0"/>
              <w:spacing w:before="0" w:after="0"/>
              <w:ind w:left="0" w:right="0" w:hanging="0"/>
              <w:jc w:val="right"/>
              <w:rPr/>
            </w:pPr>
            <w:r>
              <w:rPr/>
              <w:t xml:space="preserve">Total Fee Offsets: </w:t>
            </w:r>
          </w:p>
        </w:tc>
        <w:tc>
          <w:tcPr>
            <w:tcW w:w="12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20" w:name="TotalOffsetAmt"/>
            <w:bookmarkEnd w:id="20"/>
            <w:r>
              <w:rPr/>
              <w:t xml:space="preserve">$ 0.00 </w:t>
            </w:r>
          </w:p>
        </w:tc>
      </w:tr>
      <w:tr>
        <w:trPr/>
        <w:tc>
          <w:tcPr>
            <w:tcW w:w="4952" w:type="dxa"/>
            <w:gridSpan w:val="5"/>
            <w:tcBorders/>
            <w:vAlign w:val="center"/>
          </w:tcPr>
          <w:p>
            <w:pPr>
              <w:pStyle w:val="TableContents"/>
              <w:bidi w:val="0"/>
              <w:spacing w:before="0" w:after="0"/>
              <w:ind w:left="0" w:right="0" w:hanging="0"/>
              <w:jc w:val="right"/>
              <w:rPr/>
            </w:pPr>
            <w:r>
              <w:rPr/>
              <w:t xml:space="preserve">Net Fee Due: </w:t>
            </w:r>
          </w:p>
        </w:tc>
        <w:tc>
          <w:tcPr>
            <w:tcW w:w="125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0"/>
              <w:ind w:left="0" w:right="0" w:hanging="0"/>
              <w:jc w:val="right"/>
              <w:rPr/>
            </w:pPr>
            <w:bookmarkStart w:id="21" w:name="NetFeeAmt"/>
            <w:bookmarkEnd w:id="21"/>
            <w:r>
              <w:rPr/>
              <w:t xml:space="preserve">$ 15.47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3"/>
        <w:gridCol w:w="8711"/>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under the Securities Act of 1933, as amended (the "Securities Act"), this registration statement shall also cover any additional shares of the Registrant's common stock that become issuable under the Registrant's 2026 Omnibus Equity Incentive Plan, as amended (the "ESPP"), or the 2015 Omnibus Equity Incentive Plan, as amended (the "2026 Plan"), by reason of any stock dividend, stock split, recapitalization or similar transactions effected that results in an increase to the number of outstanding shares of common stock. (2) Estimated solely for the purpose of calculating the registration fee in accordance with Rules 457(c) and (h) promulgated under the Securities Act, based upon the average of the high and low prices of the registrant's common stock as reported on The NASDAQ Capital Market on September 29, 2026, a date within five business days prior to the filing of this Registration Statement. (3) The Registrant does not have any fee offsets.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9443/000119312526126238/rkda-20251231.htm" TargetMode="External"/><Relationship Id="rId3" Type="http://schemas.openxmlformats.org/officeDocument/2006/relationships/hyperlink" Target="https://www.sec.gov/Archives/edgar/data/1469443/000119312526197315/rkda-20251231.htm" TargetMode="External"/><Relationship Id="rId4" Type="http://schemas.openxmlformats.org/officeDocument/2006/relationships/hyperlink" Target="https://www.sec.gov/Archives/edgar/data/1469443/000119312526342437/rkda-20260810.htm" TargetMode="External"/><Relationship Id="rId5" Type="http://schemas.openxmlformats.org/officeDocument/2006/relationships/hyperlink" Target="https://www.sec.gov/Archives/edgar/data/1469443/000119312526223990/rkda-20260331.htm" TargetMode="External"/><Relationship Id="rId6" Type="http://schemas.openxmlformats.org/officeDocument/2006/relationships/hyperlink" Target="https://www.sec.gov/Archives/edgar/data/1469443/000119312526349205/rkda-20260630.htm" TargetMode="External"/><Relationship Id="rId7" Type="http://schemas.openxmlformats.org/officeDocument/2006/relationships/hyperlink" Target="https://www.sec.gov/Archives/edgar/data/1469443/000119312526012028/rkda-20260109.htm" TargetMode="External"/><Relationship Id="rId8" Type="http://schemas.openxmlformats.org/officeDocument/2006/relationships/hyperlink" Target="https://www.sec.gov/Archives/edgar/data/1469443/000119312526041144/rkda-20260204.htm" TargetMode="External"/><Relationship Id="rId9" Type="http://schemas.openxmlformats.org/officeDocument/2006/relationships/hyperlink" Target="https://www.sec.gov/Archives/edgar/data/1469443/000119312526126220/rkda-20260326.htm" TargetMode="External"/><Relationship Id="rId10" Type="http://schemas.openxmlformats.org/officeDocument/2006/relationships/hyperlink" Target="https://www.sec.gov/Archives/edgar/data/1469443/000119312526142030/rkda-20260330.htm" TargetMode="External"/><Relationship Id="rId11" Type="http://schemas.openxmlformats.org/officeDocument/2006/relationships/hyperlink" Target="https://www.sec.gov/Archives/edgar/data/1469443/000119312526223985/rkda-20260514.htm" TargetMode="External"/><Relationship Id="rId12" Type="http://schemas.openxmlformats.org/officeDocument/2006/relationships/hyperlink" Target="https://www.sec.gov/Archives/edgar/data/1469443/000119312526270560/rkda-20260611.htm" TargetMode="External"/><Relationship Id="rId13" Type="http://schemas.openxmlformats.org/officeDocument/2006/relationships/hyperlink" Target="https://www.sec.gov/Archives/edgar/data/1469443/000119312526294619/rkda-20260701.htm" TargetMode="External"/><Relationship Id="rId14" Type="http://schemas.openxmlformats.org/officeDocument/2006/relationships/hyperlink" Target="https://www.sec.gov/Archives/edgar/data/1469443/000119312526340664/rkda-20260804.htm" TargetMode="External"/><Relationship Id="rId15" Type="http://schemas.openxmlformats.org/officeDocument/2006/relationships/hyperlink" Target="https://www.sec.gov/Archives/edgar/data/1469443/000119312526349180/rkda-20260813.htm" TargetMode="External"/><Relationship Id="rId16" Type="http://schemas.openxmlformats.org/officeDocument/2006/relationships/hyperlink" Target="https://www.sec.gov/Archives/edgar/data/1469443/000119312526383642/rkda-20260831.htm" TargetMode="External"/><Relationship Id="rId17" Type="http://schemas.openxmlformats.org/officeDocument/2006/relationships/hyperlink" Target="https://www.sec.gov/Archives/edgar/data/1469443/000119312526391780/rkda-20260910.htm" TargetMode="External"/><Relationship Id="rId18" Type="http://schemas.openxmlformats.org/officeDocument/2006/relationships/hyperlink" Target="https://www.sec.gov/Archives/edgar/data/1469443/000095017024038176/rkda-ex4_7.htm" TargetMode="External"/><Relationship Id="rId19" Type="http://schemas.openxmlformats.org/officeDocument/2006/relationships/hyperlink" Target="https://www.sec.gov/Archives/edgar/data/1469443/000110465915040719/a15-12668_1ex3d1.htm" TargetMode="External"/><Relationship Id="rId20" Type="http://schemas.openxmlformats.org/officeDocument/2006/relationships/hyperlink" Target="https://www.sec.gov/Archives/edgar/data/1469443/000095017023005092/rkda-ex3_1.htm" TargetMode="External"/><Relationship Id="rId21" Type="http://schemas.openxmlformats.org/officeDocument/2006/relationships/hyperlink" Target="https://www.sec.gov/Archives/edgar/data/1469443/000110465915040719/a15-12668_1ex3d2.htm" TargetMode="External"/><Relationship Id="rId22" Type="http://schemas.openxmlformats.org/officeDocument/2006/relationships/hyperlink" Target="https://www.sec.gov/Archives/edgar/data/1469443/000095017022026239/rkda-ex3_2.htm" TargetMode="External"/><Relationship Id="rId23" Type="http://schemas.openxmlformats.org/officeDocument/2006/relationships/hyperlink" Target="https://www.sec.gov/Archives/edgar/data/1469443/000119312526391780/rkda-ex10_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3852</Words>
  <Characters>20587</Characters>
  <CharactersWithSpaces>24402</CharactersWithSpaces>
  <Paragraphs>359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