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WALLER GREGORY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ARCADIA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5956 SHERRY LANE, SUITE 2000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Arcadia Biosciences, Inc.</w:t>
              </w:r>
            </w:hyperlink>
            <w:r>
              <w:rPr/>
              <w:t xml:space="preserve"> [ </w:t>
            </w:r>
            <w:r>
              <w:rPr>
                <w:rFonts w:ascii="Times;serif" w:hAnsi="Times;serif"/>
                <w:color w:val="0000FF"/>
                <w:sz w:val="24"/>
                <w:shd w:fill="FFFFFF" w:val="clear"/>
              </w:rPr>
              <w:t>RKDA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become 100% vested and exercisable on the earlier to occur of (i) September 10, 2027 or (ii) the date of the Issuer's next Annual Meeting of Stockholders, subject to the Participant's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D. Waller, by Attorney-in-fact, Solaeta Chan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144" TargetMode="External"/><Relationship Id="rId5" Type="http://schemas.openxmlformats.org/officeDocument/2006/relationships/hyperlink" Target="http://www.sec.gov/cgi-bin/browse-edgar?action=getcompany&amp;CIK=0001469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3326</Characters>
  <CharactersWithSpaces>3868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