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kda-20260910.htm"/>
      <w:bookmarkStart w:id="1" w:name="ksrkda20260910"/>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10,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Arcadia Biosciences,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001-37383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81-0571538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5956 Sherry Lane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2000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Dallas, Texas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75225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214</w:t>
            </w:r>
            <w:r>
              <w:rPr>
                <w:rFonts w:ascii="Times New Roman" w:hAnsi="Times New Roman"/>
                <w:color w:val="000000"/>
                <w:sz w:val="20"/>
              </w:rPr>
              <w:t xml:space="preserve"> </w:t>
            </w:r>
            <w:r>
              <w:rPr>
                <w:rFonts w:ascii="Times New Roman" w:hAnsi="Times New Roman"/>
                <w:b/>
                <w:color w:val="000000"/>
                <w:sz w:val="20"/>
              </w:rPr>
              <w:t>974-8921</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685" w:type="dxa"/>
        <w:jc w:val="left"/>
        <w:tblInd w:w="0" w:type="dxa"/>
        <w:tblLayout w:type="fixed"/>
        <w:tblCellMar>
          <w:top w:w="28" w:type="dxa"/>
          <w:left w:w="28" w:type="dxa"/>
          <w:bottom w:w="28" w:type="dxa"/>
          <w:right w:w="28" w:type="dxa"/>
        </w:tblCellMar>
      </w:tblPr>
      <w:tblGrid>
        <w:gridCol w:w="1621"/>
        <w:gridCol w:w="146"/>
        <w:gridCol w:w="946"/>
        <w:gridCol w:w="1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RKDA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2026 Omnibus Equity Incentive Plan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further described in Item 5.07 below, the stockholders of Arcadia Biosciences, Inc. (the “Company”) approved the Company’s 2026 Omnibus Equity Incentive Plan (the “2026 Plan”) at the Company’s 2026 Annual Meeting of Stockholders (the “Annual Meeting”) held on September 10, 2026. The 2026 Plan was previously approved by the Company’s Board of Directors (the “Board”). The 2026 Plan, which became effective upon the stockholders’ approval at the Annual Meeting, is the successor to the Company’s 2015 Omnibus Equity Incentive Plan (the “2015 Plan”), which expired and terminated in 2025. The 2015 Plan will continue to govern awards previously granted under it.</w:t>
      </w:r>
    </w:p>
    <w:p>
      <w:pPr>
        <w:pStyle w:val="TextBody"/>
        <w:bidi w:val="0"/>
        <w:jc w:val="left"/>
        <w:rPr>
          <w:rFonts w:ascii="Times New Roman" w:hAnsi="Times New Roman"/>
          <w:color w:val="000000"/>
          <w:sz w:val="20"/>
        </w:rPr>
      </w:pPr>
      <w:r>
        <w:rPr>
          <w:rFonts w:ascii="Times New Roman" w:hAnsi="Times New Roman"/>
          <w:color w:val="000000"/>
          <w:sz w:val="20"/>
        </w:rPr>
        <w:t>A description of the 2026 Plan is included in Proposal 3 of the Company’s definitive Proxy Statement on Schedule 14A filed with the Securities and Exchange Commission on August 10, 2026 (the “Proxy Statement”), which summary is incorporated in its entirety herein by reference. The descriptions of the 2026 Plan contained herein and in the Proxy Statement do not purport to be complete and are subject to, and qualified in their entirety by reference to, the full text of the 2026 Plan, a copy of which is filed as Exhibit 10.1 to this Current Report on Form 8-K and is incorporated herein by reference.</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5.07 Submission of Matters to a Vote of Security Holders.</w:t>
      </w:r>
    </w:p>
    <w:p>
      <w:pPr>
        <w:pStyle w:val="TextBody"/>
        <w:bidi w:val="0"/>
        <w:jc w:val="left"/>
        <w:rPr>
          <w:rFonts w:ascii="Times New Roman" w:hAnsi="Times New Roman"/>
          <w:color w:val="000000"/>
          <w:sz w:val="20"/>
        </w:rPr>
      </w:pPr>
      <w:r>
        <w:rPr>
          <w:rFonts w:ascii="Times New Roman" w:hAnsi="Times New Roman"/>
          <w:color w:val="000000"/>
          <w:sz w:val="20"/>
        </w:rPr>
        <w:t>At the Annual Meeting held on September 10, 2026, stockholders holding and entitled to vote 1,259,315 shares of common stock of the Company, or approximately 52.3% of the total outstanding shares of common stock on the record date for the Annual Meeting, were present in person or by proxy. At the Annual Meeting, the stockholders voted on the following proposals, each of which is described in detail in the Proxy Statement.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final results for each of the matters considered at the Annual Meeting were as follows:</w:t>
      </w:r>
    </w:p>
    <w:p>
      <w:pPr>
        <w:pStyle w:val="TextBody"/>
        <w:bidi w:val="0"/>
        <w:spacing w:before="240" w:after="283"/>
        <w:jc w:val="left"/>
        <w:rPr>
          <w:rFonts w:ascii="Times New Roman" w:hAnsi="Times New Roman"/>
          <w:sz w:val="20"/>
        </w:rPr>
      </w:pPr>
      <w:r>
        <w:rPr>
          <w:rFonts w:ascii="Times New Roman" w:hAnsi="Times New Roman"/>
          <w:b/>
          <w:color w:val="000000"/>
          <w:sz w:val="20"/>
        </w:rPr>
        <w:t>PROPOSAL I: Election of Directors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director nominee was elected to serve as a Class II director until the Company’s annual meeting of stockholders in 2029, or until his successor is duly elected and qualified, or his earlier resignation, death, or removal. Due to plurality election, votes could only be cast in favor of or withheld from the nominees and thus votes against were not applicable. The results of the election were as follows:</w:t>
      </w:r>
    </w:p>
    <w:tbl>
      <w:tblPr>
        <w:tblW w:w="6007" w:type="dxa"/>
        <w:jc w:val="left"/>
        <w:tblInd w:w="0" w:type="dxa"/>
        <w:tblLayout w:type="fixed"/>
        <w:tblCellMar>
          <w:top w:w="28" w:type="dxa"/>
          <w:left w:w="28" w:type="dxa"/>
          <w:bottom w:w="28" w:type="dxa"/>
          <w:right w:w="28" w:type="dxa"/>
        </w:tblCellMar>
      </w:tblPr>
      <w:tblGrid>
        <w:gridCol w:w="1846"/>
        <w:gridCol w:w="146"/>
        <w:gridCol w:w="781"/>
        <w:gridCol w:w="146"/>
        <w:gridCol w:w="1036"/>
        <w:gridCol w:w="146"/>
        <w:gridCol w:w="190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DIRECTOR NOMINEE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FOR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WITHHELD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BROKER NON-VOTES</w:t>
            </w:r>
          </w:p>
        </w:tc>
      </w:tr>
      <w:tr>
        <w:trPr/>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Gregory D. Waller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377,954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105,236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776,125</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PROPOSAL II: Vote on Issuance of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stockholders approved the potential issuance of the Company’s common stock upon exercise of the Series A-1 Preferred Investment Options that were issued in the Company’s private placement transaction that closed on June 12, 2026, by the votes set forth in the table below:</w:t>
      </w:r>
    </w:p>
    <w:tbl>
      <w:tblPr>
        <w:tblW w:w="4822" w:type="dxa"/>
        <w:jc w:val="left"/>
        <w:tblInd w:w="0" w:type="dxa"/>
        <w:tblLayout w:type="fixed"/>
        <w:tblCellMar>
          <w:top w:w="28" w:type="dxa"/>
          <w:left w:w="28" w:type="dxa"/>
          <w:bottom w:w="28" w:type="dxa"/>
          <w:right w:w="28" w:type="dxa"/>
        </w:tblCellMar>
      </w:tblPr>
      <w:tblGrid>
        <w:gridCol w:w="796"/>
        <w:gridCol w:w="146"/>
        <w:gridCol w:w="856"/>
        <w:gridCol w:w="146"/>
        <w:gridCol w:w="826"/>
        <w:gridCol w:w="146"/>
        <w:gridCol w:w="1906"/>
      </w:tblGrid>
      <w:tr>
        <w:trPr/>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FOR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AGAINST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ABSTAIN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BROKER NON-VOTES</w:t>
            </w:r>
          </w:p>
        </w:tc>
      </w:tr>
      <w:tr>
        <w:trPr/>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410,749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70,314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776,125</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PROPOSAL III: Vote on 2026 Omnibus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stockholders approved the new 2026 Omnibus Equity Incentive Plan, by the votes set forth in the table below:</w:t>
      </w:r>
    </w:p>
    <w:tbl>
      <w:tblPr>
        <w:tblW w:w="4822" w:type="dxa"/>
        <w:jc w:val="left"/>
        <w:tblInd w:w="0" w:type="dxa"/>
        <w:tblLayout w:type="fixed"/>
        <w:tblCellMar>
          <w:top w:w="28" w:type="dxa"/>
          <w:left w:w="28" w:type="dxa"/>
          <w:bottom w:w="28" w:type="dxa"/>
          <w:right w:w="28" w:type="dxa"/>
        </w:tblCellMar>
      </w:tblPr>
      <w:tblGrid>
        <w:gridCol w:w="796"/>
        <w:gridCol w:w="146"/>
        <w:gridCol w:w="856"/>
        <w:gridCol w:w="146"/>
        <w:gridCol w:w="826"/>
        <w:gridCol w:w="146"/>
        <w:gridCol w:w="1906"/>
      </w:tblGrid>
      <w:tr>
        <w:trPr/>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FOR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AGAINST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ABSTAIN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BROKER NON-VOTES</w:t>
            </w:r>
          </w:p>
        </w:tc>
      </w:tr>
      <w:tr>
        <w:trPr/>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326,188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149,113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7,889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776,125</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PROPOSAL IV: Reverse Stock Split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stockholders approved an amendment to the Company’s amended and restated certificate of incorporation to effect a reverse stock split of the Company’s outstanding shares of common stock, if the Board in its discretion determines to effect a reverse stock split at any time before June 30, 2027, at a reverse stock split ratio ranging from 1-for-2 to 1-for-10, as determined by the Board at a later date, by the votes set forth in the table below:</w:t>
      </w:r>
    </w:p>
    <w:tbl>
      <w:tblPr>
        <w:tblW w:w="4972" w:type="dxa"/>
        <w:jc w:val="left"/>
        <w:tblInd w:w="0" w:type="dxa"/>
        <w:tblLayout w:type="fixed"/>
        <w:tblCellMar>
          <w:top w:w="28" w:type="dxa"/>
          <w:left w:w="28" w:type="dxa"/>
          <w:bottom w:w="28" w:type="dxa"/>
          <w:right w:w="28" w:type="dxa"/>
        </w:tblCellMar>
      </w:tblPr>
      <w:tblGrid>
        <w:gridCol w:w="946"/>
        <w:gridCol w:w="146"/>
        <w:gridCol w:w="856"/>
        <w:gridCol w:w="146"/>
        <w:gridCol w:w="826"/>
        <w:gridCol w:w="146"/>
        <w:gridCol w:w="1906"/>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FOR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AGAINST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ABSTAIN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BROKER NON-VOTES</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1,120,937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138,084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HorizontalLine"/>
        <w:pBdr>
          <w:bottom w:val="double" w:sz="2" w:space="0" w:color="808080"/>
        </w:pBdr>
        <w:bidi w:val="0"/>
        <w:spacing w:before="0" w:after="283"/>
        <w:jc w:val="left"/>
        <w:rPr/>
      </w:pPr>
      <w:r>
        <w:rPr/>
      </w:r>
    </w:p>
    <w:tbl>
      <w:tblPr>
        <w:tblW w:w="1082" w:type="dxa"/>
        <w:jc w:val="left"/>
        <w:tblInd w:w="0" w:type="dxa"/>
        <w:tblLayout w:type="fixed"/>
        <w:tblCellMar>
          <w:top w:w="28" w:type="dxa"/>
          <w:left w:w="28" w:type="dxa"/>
          <w:bottom w:w="28" w:type="dxa"/>
          <w:right w:w="28" w:type="dxa"/>
        </w:tblCellMar>
      </w:tblPr>
      <w:tblGrid>
        <w:gridCol w:w="161"/>
        <w:gridCol w:w="146"/>
        <w:gridCol w:w="146"/>
        <w:gridCol w:w="146"/>
        <w:gridCol w:w="146"/>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PROPOSAL V: Advisory Vote on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stockholders approved, on an advisory basis, the compensation paid to the Company’s named executive officers by the votes set forth in the table below:</w:t>
      </w:r>
    </w:p>
    <w:tbl>
      <w:tblPr>
        <w:tblW w:w="4822" w:type="dxa"/>
        <w:jc w:val="left"/>
        <w:tblInd w:w="0" w:type="dxa"/>
        <w:tblLayout w:type="fixed"/>
        <w:tblCellMar>
          <w:top w:w="28" w:type="dxa"/>
          <w:left w:w="28" w:type="dxa"/>
          <w:bottom w:w="28" w:type="dxa"/>
          <w:right w:w="28" w:type="dxa"/>
        </w:tblCellMar>
      </w:tblPr>
      <w:tblGrid>
        <w:gridCol w:w="796"/>
        <w:gridCol w:w="146"/>
        <w:gridCol w:w="856"/>
        <w:gridCol w:w="146"/>
        <w:gridCol w:w="826"/>
        <w:gridCol w:w="146"/>
        <w:gridCol w:w="1906"/>
      </w:tblGrid>
      <w:tr>
        <w:trPr/>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FOR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AGAINST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ABSTAIN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BROKER NON-VOTES</w:t>
            </w:r>
          </w:p>
        </w:tc>
      </w:tr>
      <w:tr>
        <w:trPr/>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331,298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149,447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776,125</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PROPOSAL VI: Ratification of Selection of Independent Registered Public Accountants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appointment of Ramirez Jimenez International CPAs as the Company’s independent registered public accountants for the year ending December 31, 2026, was ratified by the affirmative votes of the stockholders. There were no broker non-votes on this proposal. The results of the ratification were as follows:</w:t>
      </w:r>
    </w:p>
    <w:tbl>
      <w:tblPr>
        <w:tblW w:w="2965" w:type="dxa"/>
        <w:jc w:val="left"/>
        <w:tblInd w:w="0" w:type="dxa"/>
        <w:tblLayout w:type="fixed"/>
        <w:tblCellMar>
          <w:top w:w="28" w:type="dxa"/>
          <w:left w:w="28" w:type="dxa"/>
          <w:bottom w:w="28" w:type="dxa"/>
          <w:right w:w="28" w:type="dxa"/>
        </w:tblCellMar>
      </w:tblPr>
      <w:tblGrid>
        <w:gridCol w:w="946"/>
        <w:gridCol w:w="146"/>
        <w:gridCol w:w="856"/>
        <w:gridCol w:w="146"/>
        <w:gridCol w:w="87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FOR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AGAINST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ABSTAIN</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1,235,444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19,532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4,339</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PROPOSAL VII: Proposal to Adjourn the Meeting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stockholders approved a proposal to adjourn the Annual Meeting by the Chairperson of the Annual Meeting to a later date or dates, if necessary or appropriate, to permit further solicitation and vote of proxies in the event that there are not sufficient votes in favor of Proposal 2 or Proposal 4, by the votes set forth in the table below:</w:t>
      </w:r>
    </w:p>
    <w:tbl>
      <w:tblPr>
        <w:tblW w:w="4972" w:type="dxa"/>
        <w:jc w:val="left"/>
        <w:tblInd w:w="0" w:type="dxa"/>
        <w:tblLayout w:type="fixed"/>
        <w:tblCellMar>
          <w:top w:w="28" w:type="dxa"/>
          <w:left w:w="28" w:type="dxa"/>
          <w:bottom w:w="28" w:type="dxa"/>
          <w:right w:w="28" w:type="dxa"/>
        </w:tblCellMar>
      </w:tblPr>
      <w:tblGrid>
        <w:gridCol w:w="946"/>
        <w:gridCol w:w="146"/>
        <w:gridCol w:w="856"/>
        <w:gridCol w:w="146"/>
        <w:gridCol w:w="826"/>
        <w:gridCol w:w="146"/>
        <w:gridCol w:w="1906"/>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FOR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AGAINST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ABSTAIN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BROKER NON-VOTES</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1,127,238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129,363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b/>
          <w:color w:val="000000"/>
          <w:sz w:val="20"/>
        </w:rPr>
      </w:pPr>
      <w:r>
        <w:rPr>
          <w:rFonts w:ascii="Times New Roman" w:hAnsi="Times New Roman"/>
          <w:b/>
          <w:color w:val="000000"/>
          <w:sz w:val="20"/>
        </w:rPr>
        <w:t>(d) Exhibits</w:t>
      </w:r>
    </w:p>
    <w:tbl>
      <w:tblPr>
        <w:tblW w:w="7528" w:type="dxa"/>
        <w:jc w:val="left"/>
        <w:tblInd w:w="0" w:type="dxa"/>
        <w:tblLayout w:type="fixed"/>
        <w:tblCellMar>
          <w:top w:w="28" w:type="dxa"/>
          <w:left w:w="28" w:type="dxa"/>
          <w:bottom w:w="28" w:type="dxa"/>
          <w:right w:w="28" w:type="dxa"/>
        </w:tblCellMar>
      </w:tblPr>
      <w:tblGrid>
        <w:gridCol w:w="1081"/>
        <w:gridCol w:w="146"/>
        <w:gridCol w:w="630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01" w:type="dxa"/>
            <w:tcBorders/>
            <w:vAlign w:val="center"/>
          </w:tcPr>
          <w:p>
            <w:pPr>
              <w:pStyle w:val="TableContents"/>
              <w:bidi w:val="0"/>
              <w:spacing w:before="0" w:after="283"/>
              <w:jc w:val="left"/>
              <w:rPr>
                <w:sz w:val="4"/>
                <w:szCs w:val="4"/>
              </w:rPr>
            </w:pPr>
            <w:r>
              <w:rPr>
                <w:sz w:val="4"/>
                <w:szCs w:val="4"/>
              </w:rPr>
            </w:r>
          </w:p>
        </w:tc>
      </w:tr>
      <w:tr>
        <w:trPr/>
        <w:tc>
          <w:tcPr>
            <w:tcW w:w="1081" w:type="dxa"/>
            <w:tcBorders>
              <w:top w:val="single" w:sz="2" w:space="0" w:color="000000"/>
              <w:left w:val="single" w:sz="2" w:space="0" w:color="000000"/>
              <w:bottom w:val="single" w:sz="8" w:space="0" w:color="000000"/>
              <w:right w:val="single" w:sz="2" w:space="0" w:color="000000"/>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top w:val="single" w:sz="2" w:space="0" w:color="000000"/>
              <w:bottom w:val="single" w:sz="2" w:space="0" w:color="000000"/>
              <w:right w:val="single" w:sz="2" w:space="0" w:color="000000"/>
            </w:tcBorders>
            <w:shd w:fill="FFFFFF" w:val="clear"/>
            <w:tcMar>
              <w:left w:w="0" w:type="dxa"/>
            </w:tcMar>
            <w:vAlign w:val="center"/>
          </w:tcPr>
          <w:p>
            <w:pPr>
              <w:pStyle w:val="TableContents"/>
              <w:bidi w:val="0"/>
              <w:spacing w:before="0" w:after="283"/>
              <w:jc w:val="left"/>
              <w:rPr>
                <w:sz w:val="4"/>
                <w:szCs w:val="4"/>
              </w:rPr>
            </w:pPr>
            <w:r>
              <w:rPr>
                <w:sz w:val="4"/>
                <w:szCs w:val="4"/>
              </w:rPr>
            </w:r>
          </w:p>
        </w:tc>
        <w:tc>
          <w:tcPr>
            <w:tcW w:w="6301" w:type="dxa"/>
            <w:tcBorders>
              <w:top w:val="single" w:sz="2" w:space="0" w:color="000000"/>
              <w:bottom w:val="single" w:sz="8" w:space="0" w:color="000000"/>
              <w:right w:val="single" w:sz="2" w:space="0" w:color="000000"/>
            </w:tcBorders>
            <w:shd w:fill="FFFFFF" w:val="clear"/>
            <w:tcMar>
              <w:lef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left w:val="single" w:sz="2" w:space="0" w:color="000000"/>
              <w:bottom w:val="single" w:sz="2" w:space="0" w:color="000000"/>
              <w:right w:val="single" w:sz="2"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6301"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hyperlink w:anchor="rkda-ex10_1.htm">
              <w:r>
                <w:rPr>
                  <w:rStyle w:val="InternetLink"/>
                  <w:rFonts w:ascii="Times New Roman" w:hAnsi="Times New Roman"/>
                  <w:color w:val="0000FF"/>
                  <w:sz w:val="20"/>
                  <w:u w:val="single"/>
                </w:rPr>
                <w:t>Arcadia Biosciences, Inc. 2026 Omnibus Equity Incentive Plan</w:t>
              </w:r>
            </w:hyperlink>
          </w:p>
        </w:tc>
      </w:tr>
      <w:tr>
        <w:trPr/>
        <w:tc>
          <w:tcPr>
            <w:tcW w:w="1081" w:type="dxa"/>
            <w:tcBorders>
              <w:left w:val="single" w:sz="2" w:space="0" w:color="000000"/>
              <w:bottom w:val="single" w:sz="2" w:space="0" w:color="000000"/>
              <w:right w:val="single" w:sz="2"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301"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hyperlink w:anchor="rkda-ex10_2.htm">
              <w:r>
                <w:rPr>
                  <w:rStyle w:val="InternetLink"/>
                  <w:rFonts w:ascii="Times New Roman" w:hAnsi="Times New Roman"/>
                  <w:color w:val="0000FF"/>
                  <w:sz w:val="20"/>
                  <w:u w:val="single"/>
                </w:rPr>
                <w:t>Form of Option Agreement</w:t>
              </w:r>
            </w:hyperlink>
          </w:p>
        </w:tc>
      </w:tr>
      <w:tr>
        <w:trPr/>
        <w:tc>
          <w:tcPr>
            <w:tcW w:w="1081" w:type="dxa"/>
            <w:tcBorders>
              <w:left w:val="single" w:sz="2" w:space="0" w:color="000000"/>
              <w:bottom w:val="single" w:sz="2" w:space="0" w:color="000000"/>
              <w:right w:val="single" w:sz="2"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301"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hyperlink w:anchor="rkda-ex10_3.htm">
              <w:r>
                <w:rPr>
                  <w:rStyle w:val="InternetLink"/>
                  <w:rFonts w:ascii="Times New Roman" w:hAnsi="Times New Roman"/>
                  <w:color w:val="0000FF"/>
                  <w:sz w:val="20"/>
                  <w:u w:val="single"/>
                </w:rPr>
                <w:t>Form of Non-Employee Director Option Agreement</w:t>
              </w:r>
            </w:hyperlink>
          </w:p>
        </w:tc>
      </w:tr>
      <w:tr>
        <w:trPr/>
        <w:tc>
          <w:tcPr>
            <w:tcW w:w="1081" w:type="dxa"/>
            <w:tcBorders>
              <w:left w:val="single" w:sz="2" w:space="0" w:color="000000"/>
              <w:bottom w:val="single" w:sz="2" w:space="0" w:color="000000"/>
              <w:right w:val="single" w:sz="2"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6301"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Inline XBRL document)</w:t>
            </w:r>
          </w:p>
        </w:tc>
      </w:tr>
    </w:tbl>
    <w:p>
      <w:pPr>
        <w:pStyle w:val="TextBody"/>
        <w:bidi w:val="0"/>
        <w:jc w:val="left"/>
        <w:rPr>
          <w:rFonts w:ascii="Times New Roman" w:hAnsi="Times New Roman"/>
          <w:color w:val="000000"/>
          <w:sz w:val="20"/>
        </w:rPr>
      </w:pPr>
      <w:r>
        <w:rPr>
          <w:rFonts w:ascii="Times New Roman" w:hAnsi="Times New Roman"/>
          <w:color w:val="000000"/>
          <w:sz w:val="20"/>
        </w:rPr>
        <w:t>* Indicates a management contract or compensatory plan or arrangement.</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439" w:type="dxa"/>
        <w:jc w:val="left"/>
        <w:tblInd w:w="0" w:type="dxa"/>
        <w:tblLayout w:type="fixed"/>
        <w:tblCellMar>
          <w:top w:w="28" w:type="dxa"/>
          <w:left w:w="28" w:type="dxa"/>
          <w:bottom w:w="28" w:type="dxa"/>
          <w:right w:w="28" w:type="dxa"/>
        </w:tblCellMar>
      </w:tblPr>
      <w:tblGrid>
        <w:gridCol w:w="556"/>
        <w:gridCol w:w="1726"/>
        <w:gridCol w:w="451"/>
        <w:gridCol w:w="3706"/>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ARCADIA BIOSCIENCES,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15,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70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THOMAS J. SCHAEFER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Thomas J. Schaefer,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4"/>
        </w:rPr>
      </w:pPr>
      <w:bookmarkStart w:id="2" w:name="rkda-ex10_1.htm"/>
      <w:bookmarkStart w:id="3" w:name="ksrkdaex10_1"/>
      <w:bookmarkEnd w:id="2"/>
      <w:bookmarkEnd w:id="3"/>
      <w:r>
        <w:rPr>
          <w:rFonts w:ascii="Times New Roman" w:hAnsi="Times New Roman"/>
          <w:b/>
          <w:color w:val="000000"/>
          <w:sz w:val="24"/>
        </w:rPr>
        <w:t>Exhibit 10.1</w:t>
      </w:r>
      <w:r>
        <w:br w:type="page"/>
      </w:r>
    </w:p>
    <w:p>
      <w:pPr>
        <w:pStyle w:val="TextBody"/>
        <w:bidi w:val="0"/>
        <w:spacing w:before="0" w:after="240"/>
        <w:jc w:val="center"/>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ARCADIA BIOSCIENCES, INC.</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2026 OMNIBUS EQUITY INCENTIVE PLAN</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1. </w:t>
      </w:r>
      <w:r>
        <w:rPr>
          <w:rFonts w:ascii="Times New Roman" w:hAnsi="Times New Roman"/>
          <w:color w:val="000000"/>
          <w:sz w:val="24"/>
          <w:u w:val="single"/>
        </w:rPr>
        <w:t>Purposes of the Plan</w:t>
      </w:r>
      <w:r>
        <w:rPr>
          <w:rFonts w:ascii="Times New Roman" w:hAnsi="Times New Roman"/>
          <w:color w:val="000000"/>
          <w:sz w:val="24"/>
        </w:rPr>
        <w:t>. The purposes of this Plan are (a) to attract and retain the best available personnel to ensure the Company’s success and accomplish the Company’s goals; (b) to incentivize Employees, Directors and Independent Contractors with long-term equity-based compensation to align their interests with the Company’s stockholders, and (c) to promote the success of the Company’s business.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Plan permits the grant of Incentive Stock Options, Nonstatutory Stock Options, Restricted Stock, Restricted Stock Units, Stock Appreciation Rights, Performance Units and Performance Shares.</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2. </w:t>
      </w:r>
      <w:r>
        <w:rPr>
          <w:rFonts w:ascii="Times New Roman" w:hAnsi="Times New Roman"/>
          <w:color w:val="000000"/>
          <w:sz w:val="24"/>
          <w:u w:val="single"/>
        </w:rPr>
        <w:t>Definitions</w:t>
      </w:r>
      <w:r>
        <w:rPr>
          <w:rFonts w:ascii="Times New Roman" w:hAnsi="Times New Roman"/>
          <w:color w:val="000000"/>
          <w:sz w:val="24"/>
        </w:rPr>
        <w:t>. As used herein, the following definitions will apply:</w:t>
      </w:r>
    </w:p>
    <w:p>
      <w:pPr>
        <w:pStyle w:val="TextBody"/>
        <w:bidi w:val="0"/>
        <w:spacing w:before="0" w:after="240"/>
        <w:jc w:val="left"/>
        <w:rPr>
          <w:rFonts w:ascii="Times New Roman" w:hAnsi="Times New Roman"/>
          <w:sz w:val="24"/>
        </w:rPr>
      </w:pPr>
      <w:r>
        <w:rPr>
          <w:rFonts w:ascii="Times New Roman" w:hAnsi="Times New Roman"/>
          <w:color w:val="000000"/>
          <w:sz w:val="24"/>
        </w:rPr>
        <w:t>(a) “</w:t>
      </w:r>
      <w:r>
        <w:rPr>
          <w:rFonts w:ascii="Times New Roman" w:hAnsi="Times New Roman"/>
          <w:color w:val="000000"/>
          <w:sz w:val="24"/>
          <w:u w:val="single"/>
        </w:rPr>
        <w:t>Administrator</w:t>
      </w:r>
      <w:r>
        <w:rPr>
          <w:rFonts w:ascii="Times New Roman" w:hAnsi="Times New Roman"/>
          <w:color w:val="000000"/>
          <w:sz w:val="24"/>
        </w:rPr>
        <w:t>” means the Board or any of its Committees as will be administering the Plan, in accordance with Section 4 of the Plan.</w:t>
      </w:r>
    </w:p>
    <w:p>
      <w:pPr>
        <w:pStyle w:val="TextBody"/>
        <w:bidi w:val="0"/>
        <w:spacing w:before="0" w:after="240"/>
        <w:jc w:val="left"/>
        <w:rPr>
          <w:rFonts w:ascii="Times New Roman" w:hAnsi="Times New Roman"/>
          <w:sz w:val="24"/>
        </w:rPr>
      </w:pPr>
      <w:r>
        <w:rPr>
          <w:rFonts w:ascii="Times New Roman" w:hAnsi="Times New Roman"/>
          <w:color w:val="000000"/>
          <w:sz w:val="24"/>
        </w:rPr>
        <w:t>(b) “</w:t>
      </w:r>
      <w:r>
        <w:rPr>
          <w:rFonts w:ascii="Times New Roman" w:hAnsi="Times New Roman"/>
          <w:color w:val="000000"/>
          <w:sz w:val="24"/>
          <w:u w:val="single"/>
        </w:rPr>
        <w:t>Applicable Laws</w:t>
      </w:r>
      <w:r>
        <w:rPr>
          <w:rFonts w:ascii="Times New Roman" w:hAnsi="Times New Roman"/>
          <w:color w:val="000000"/>
          <w:sz w:val="24"/>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pStyle w:val="TextBody"/>
        <w:bidi w:val="0"/>
        <w:spacing w:before="0" w:after="240"/>
        <w:jc w:val="left"/>
        <w:rPr>
          <w:rFonts w:ascii="Times New Roman" w:hAnsi="Times New Roman"/>
          <w:sz w:val="24"/>
        </w:rPr>
      </w:pPr>
      <w:r>
        <w:rPr>
          <w:rFonts w:ascii="Times New Roman" w:hAnsi="Times New Roman"/>
          <w:color w:val="000000"/>
          <w:sz w:val="24"/>
        </w:rPr>
        <w:t>(c) “</w:t>
      </w:r>
      <w:r>
        <w:rPr>
          <w:rFonts w:ascii="Times New Roman" w:hAnsi="Times New Roman"/>
          <w:color w:val="000000"/>
          <w:sz w:val="24"/>
          <w:u w:val="single"/>
        </w:rPr>
        <w:t>Award</w:t>
      </w:r>
      <w:r>
        <w:rPr>
          <w:rFonts w:ascii="Times New Roman" w:hAnsi="Times New Roman"/>
          <w:color w:val="000000"/>
          <w:sz w:val="24"/>
        </w:rPr>
        <w:t>” means, individually or collectively, a grant under the Plan of Options, Stock Appreciation Rights, Restricted Stock, Restricted Stock Units, Performance Units or Performance Shares.</w:t>
      </w:r>
    </w:p>
    <w:p>
      <w:pPr>
        <w:pStyle w:val="TextBody"/>
        <w:bidi w:val="0"/>
        <w:spacing w:before="0" w:after="240"/>
        <w:jc w:val="left"/>
        <w:rPr>
          <w:rFonts w:ascii="Times New Roman" w:hAnsi="Times New Roman"/>
          <w:sz w:val="24"/>
        </w:rPr>
      </w:pPr>
      <w:r>
        <w:rPr>
          <w:rFonts w:ascii="Times New Roman" w:hAnsi="Times New Roman"/>
          <w:color w:val="000000"/>
          <w:sz w:val="24"/>
        </w:rPr>
        <w:t>(d) “</w:t>
      </w:r>
      <w:r>
        <w:rPr>
          <w:rFonts w:ascii="Times New Roman" w:hAnsi="Times New Roman"/>
          <w:color w:val="000000"/>
          <w:sz w:val="24"/>
          <w:u w:val="single"/>
        </w:rPr>
        <w:t>Award Agreement</w:t>
      </w:r>
      <w:r>
        <w:rPr>
          <w:rFonts w:ascii="Times New Roman" w:hAnsi="Times New Roman"/>
          <w:color w:val="000000"/>
          <w:sz w:val="24"/>
        </w:rPr>
        <w:t>” means the written or electronic agreement setting forth the terms and provisions applicable to each Award granted under the Plan. The Award Agreement is subject to the terms and conditions of the Plan.</w:t>
      </w:r>
    </w:p>
    <w:p>
      <w:pPr>
        <w:pStyle w:val="TextBody"/>
        <w:bidi w:val="0"/>
        <w:spacing w:before="0" w:after="240"/>
        <w:jc w:val="left"/>
        <w:rPr>
          <w:rFonts w:ascii="Times New Roman" w:hAnsi="Times New Roman"/>
          <w:sz w:val="24"/>
        </w:rPr>
      </w:pPr>
      <w:r>
        <w:rPr>
          <w:rFonts w:ascii="Times New Roman" w:hAnsi="Times New Roman"/>
          <w:color w:val="000000"/>
          <w:sz w:val="24"/>
        </w:rPr>
        <w:t>(e) “</w:t>
      </w:r>
      <w:r>
        <w:rPr>
          <w:rFonts w:ascii="Times New Roman" w:hAnsi="Times New Roman"/>
          <w:color w:val="000000"/>
          <w:sz w:val="24"/>
          <w:u w:val="single"/>
        </w:rPr>
        <w:t>Board</w:t>
      </w:r>
      <w:r>
        <w:rPr>
          <w:rFonts w:ascii="Times New Roman" w:hAnsi="Times New Roman"/>
          <w:color w:val="000000"/>
          <w:sz w:val="24"/>
        </w:rPr>
        <w:t>” means the Board of Directors of the Company.</w:t>
      </w:r>
    </w:p>
    <w:p>
      <w:pPr>
        <w:pStyle w:val="TextBody"/>
        <w:bidi w:val="0"/>
        <w:spacing w:before="0" w:after="240"/>
        <w:jc w:val="left"/>
        <w:rPr>
          <w:rFonts w:ascii="Times New Roman" w:hAnsi="Times New Roman"/>
          <w:sz w:val="24"/>
        </w:rPr>
      </w:pPr>
      <w:r>
        <w:rPr>
          <w:rFonts w:ascii="Times New Roman" w:hAnsi="Times New Roman"/>
          <w:color w:val="000000"/>
          <w:sz w:val="24"/>
        </w:rPr>
        <w:t>(f) “</w:t>
      </w:r>
      <w:r>
        <w:rPr>
          <w:rFonts w:ascii="Times New Roman" w:hAnsi="Times New Roman"/>
          <w:color w:val="000000"/>
          <w:sz w:val="24"/>
          <w:u w:val="single"/>
        </w:rPr>
        <w:t>Change in Control</w:t>
      </w:r>
      <w:r>
        <w:rPr>
          <w:rFonts w:ascii="Times New Roman" w:hAnsi="Times New Roman"/>
          <w:color w:val="000000"/>
          <w:sz w:val="24"/>
        </w:rPr>
        <w:t>” except as may otherwise be provided in a Stock Option Agreement, Restricted Stock Agreement or other applicable agreement, means the occurrence of any of the following, if such event constitutes a "change in control" as defined in Section 409A of the Code: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(i) The consummation of a merger or consolidation of the Company with or into another entity or any other corporate reorganization, if the Company’s stockholders immediately prior to such merger, consolidation or reorganization cease to directly or indirectly own immediately after such merger, consolidation or reorganization at least a majority of the </w:t>
      </w:r>
    </w:p>
    <w:p>
      <w:pPr>
        <w:pStyle w:val="TextBody"/>
        <w:bidi w:val="0"/>
        <w:jc w:val="center"/>
        <w:rPr>
          <w:rFonts w:ascii="sans-serif" w:hAnsi="sans-serif"/>
          <w:color w:val="000000"/>
          <w:sz w:val="22"/>
        </w:rPr>
      </w:pPr>
      <w:r>
        <w:rPr>
          <w:rFonts w:ascii="sans-serif" w:hAnsi="sans-serif"/>
          <w:color w:val="000000"/>
          <w:sz w:val="22"/>
        </w:rPr>
        <w:t>1</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combined voting power of the continuing or surviving entity’s securities outstanding immediately after such merger, consolidation or other reorganization;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The consummation of the sale, transfer or other disposition of all or substantially all of the Company’s assets (other than (w) to a corporation or other entity of which at least a majority of its combined voting power is owned directly or indirectly by the Company, (x) to a corporation or other entity owned directly or indirectly by the stockholders of the Company in substantially the same proportions as their ownership of the Common Stock of the Company, (y) to a continuing or surviving entity described in Section 2(f)(i) in connection with a merger, consolidation or corporate reorganization which does not result in a Change in Control under Section 2(f)(i)), or (z) to any other person or entity where such sale, transfer or other disposition is not a change in control event under Treasury Regulations Section 1.409A-3(i)(5)(vii);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if any Person (as defined below in Section 2(f)(iv)) is considered to be in effective control of the Company, the acquisition of additional control of the Company by the same Person will not be considered a Change in Control;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 The consummation of any transaction as a result of which any Person becomes the “beneficial owner” (as defined in Rule 13d-3 under the Exchange Act), directly or indirectly, of securities of the Company representing at least fifty percent (50%) of the total voting power represented by the Company’s then outstanding voting securities. For purposes of this Paragraph (iv), the term “person” shall have the same meaning as when used in sections 13(d) and 14(d) of the Exchange Act but shall exclude: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 a trustee or other fiduciary holding securities under an employee benefit plan of the Company or an affiliate of the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 a corporation or other entity owned directly or indirectly by the stockholders of the Company in substantially the same proportions as their ownership of the Common Stock of the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 the Company;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 a corporation or other entity of which at least a majority of its combined voting power is owned directly or indirectly by the Company;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 A complete winding up, liquidation or dissolution of the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transactions. To the extent required for compliance with Section 409A of the Code, in no event will a Change in Control be deemed to have occurred if such transaction </w:t>
      </w:r>
    </w:p>
    <w:p>
      <w:pPr>
        <w:pStyle w:val="TextBody"/>
        <w:bidi w:val="0"/>
        <w:jc w:val="center"/>
        <w:rPr>
          <w:rFonts w:ascii="sans-serif" w:hAnsi="sans-serif"/>
          <w:color w:val="000000"/>
          <w:sz w:val="22"/>
        </w:rPr>
      </w:pPr>
      <w:r>
        <w:rPr>
          <w:rFonts w:ascii="sans-serif" w:hAnsi="sans-serif"/>
          <w:color w:val="000000"/>
          <w:sz w:val="22"/>
        </w:rPr>
        <w:t>2</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is not also a “change in the ownership of” the Company or a “change in the effective control of” the Company or “a change in the ownership of a substantial portion of the assets of” the Company as determined under Treasury Regulations Section 1.409A-3(i)(5). The Board may, in its sole discretion and without a Participant’s consent, amend the definition of “Change in Control” to conform to the definitions of change in control or other similar terms under Section 409A of the Code, and the regulations thereunder. Notwithstanding the foregoing, to the extent that any amount constituting deferred compensation (as defined in Section 409A of the Code) would become payable under this Plan by reason of a Change in Control, such amount will become payable only if the event constituting a Change in Control would also qualify as a change in ownership or effective control of the Company or a change in the ownership of a substantial portion of the assets of the Company, each as defined within the meaning of Code Section 409A, as it has been and may be amended from time to time, and any proposed or final Treasury Regulations and IRS guidance that has been promulgated or may be promulgated thereunder from time to time.</w:t>
      </w:r>
    </w:p>
    <w:p>
      <w:pPr>
        <w:pStyle w:val="TextBody"/>
        <w:bidi w:val="0"/>
        <w:spacing w:before="0" w:after="240"/>
        <w:jc w:val="left"/>
        <w:rPr>
          <w:rFonts w:ascii="Times New Roman" w:hAnsi="Times New Roman"/>
          <w:sz w:val="24"/>
        </w:rPr>
      </w:pPr>
      <w:r>
        <w:rPr>
          <w:rFonts w:ascii="Times New Roman" w:hAnsi="Times New Roman"/>
          <w:color w:val="000000"/>
          <w:sz w:val="24"/>
        </w:rPr>
        <w:t>(g) “</w:t>
      </w:r>
      <w:r>
        <w:rPr>
          <w:rFonts w:ascii="Times New Roman" w:hAnsi="Times New Roman"/>
          <w:color w:val="000000"/>
          <w:sz w:val="24"/>
          <w:u w:val="single"/>
        </w:rPr>
        <w:t>Code</w:t>
      </w:r>
      <w:r>
        <w:rPr>
          <w:rFonts w:ascii="Times New Roman" w:hAnsi="Times New Roman"/>
          <w:color w:val="000000"/>
          <w:sz w:val="24"/>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pStyle w:val="TextBody"/>
        <w:bidi w:val="0"/>
        <w:spacing w:before="0" w:after="240"/>
        <w:jc w:val="left"/>
        <w:rPr>
          <w:rFonts w:ascii="Times New Roman" w:hAnsi="Times New Roman"/>
          <w:sz w:val="24"/>
        </w:rPr>
      </w:pPr>
      <w:r>
        <w:rPr>
          <w:rFonts w:ascii="Times New Roman" w:hAnsi="Times New Roman"/>
          <w:color w:val="000000"/>
          <w:sz w:val="24"/>
        </w:rPr>
        <w:t>(h) “</w:t>
      </w:r>
      <w:r>
        <w:rPr>
          <w:rFonts w:ascii="Times New Roman" w:hAnsi="Times New Roman"/>
          <w:color w:val="000000"/>
          <w:sz w:val="24"/>
          <w:u w:val="single"/>
        </w:rPr>
        <w:t>Committee</w:t>
      </w:r>
      <w:r>
        <w:rPr>
          <w:rFonts w:ascii="Times New Roman" w:hAnsi="Times New Roman"/>
          <w:color w:val="000000"/>
          <w:sz w:val="24"/>
        </w:rPr>
        <w:t>” means a committee of Directors or of other individuals satisfying Applicable Laws appointed by the Board in accordance with Section 4 hereof.</w:t>
      </w:r>
    </w:p>
    <w:p>
      <w:pPr>
        <w:pStyle w:val="TextBody"/>
        <w:bidi w:val="0"/>
        <w:spacing w:before="0" w:after="240"/>
        <w:jc w:val="left"/>
        <w:rPr>
          <w:rFonts w:ascii="Times New Roman" w:hAnsi="Times New Roman"/>
          <w:sz w:val="24"/>
        </w:rPr>
      </w:pPr>
      <w:r>
        <w:rPr>
          <w:rFonts w:ascii="Times New Roman" w:hAnsi="Times New Roman"/>
          <w:color w:val="000000"/>
          <w:sz w:val="24"/>
        </w:rPr>
        <w:t>(i) “</w:t>
      </w:r>
      <w:r>
        <w:rPr>
          <w:rFonts w:ascii="Times New Roman" w:hAnsi="Times New Roman"/>
          <w:color w:val="000000"/>
          <w:sz w:val="24"/>
          <w:u w:val="single"/>
        </w:rPr>
        <w:t>Common Stock</w:t>
      </w:r>
      <w:r>
        <w:rPr>
          <w:rFonts w:ascii="Times New Roman" w:hAnsi="Times New Roman"/>
          <w:color w:val="000000"/>
          <w:sz w:val="24"/>
        </w:rPr>
        <w:t>” means the common stock of the Company.</w:t>
      </w:r>
    </w:p>
    <w:p>
      <w:pPr>
        <w:pStyle w:val="TextBody"/>
        <w:bidi w:val="0"/>
        <w:spacing w:before="0" w:after="240"/>
        <w:jc w:val="left"/>
        <w:rPr>
          <w:rFonts w:ascii="Times New Roman" w:hAnsi="Times New Roman"/>
          <w:sz w:val="24"/>
        </w:rPr>
      </w:pPr>
      <w:r>
        <w:rPr>
          <w:rFonts w:ascii="Times New Roman" w:hAnsi="Times New Roman"/>
          <w:color w:val="000000"/>
          <w:sz w:val="24"/>
        </w:rPr>
        <w:t>(j) “</w:t>
      </w:r>
      <w:r>
        <w:rPr>
          <w:rFonts w:ascii="Times New Roman" w:hAnsi="Times New Roman"/>
          <w:color w:val="000000"/>
          <w:sz w:val="24"/>
          <w:u w:val="single"/>
        </w:rPr>
        <w:t>Company</w:t>
      </w:r>
      <w:r>
        <w:rPr>
          <w:rFonts w:ascii="Times New Roman" w:hAnsi="Times New Roman"/>
          <w:color w:val="000000"/>
          <w:sz w:val="24"/>
        </w:rPr>
        <w:t>” means Arcadia Biosciences, Inc., a Delaware corporation, or any successor thereto.</w:t>
      </w:r>
    </w:p>
    <w:p>
      <w:pPr>
        <w:pStyle w:val="TextBody"/>
        <w:bidi w:val="0"/>
        <w:spacing w:before="0" w:after="240"/>
        <w:jc w:val="left"/>
        <w:rPr>
          <w:rFonts w:ascii="Times New Roman" w:hAnsi="Times New Roman"/>
          <w:sz w:val="24"/>
        </w:rPr>
      </w:pPr>
      <w:r>
        <w:rPr>
          <w:rFonts w:ascii="Times New Roman" w:hAnsi="Times New Roman"/>
          <w:color w:val="000000"/>
          <w:sz w:val="24"/>
        </w:rPr>
        <w:t>(k) “</w:t>
      </w:r>
      <w:r>
        <w:rPr>
          <w:rFonts w:ascii="Times New Roman" w:hAnsi="Times New Roman"/>
          <w:color w:val="000000"/>
          <w:sz w:val="24"/>
          <w:u w:val="single"/>
        </w:rPr>
        <w:t>Director</w:t>
      </w:r>
      <w:r>
        <w:rPr>
          <w:rFonts w:ascii="Times New Roman" w:hAnsi="Times New Roman"/>
          <w:color w:val="000000"/>
          <w:sz w:val="24"/>
        </w:rPr>
        <w:t>” means a member of the Board.</w:t>
      </w:r>
    </w:p>
    <w:p>
      <w:pPr>
        <w:pStyle w:val="TextBody"/>
        <w:bidi w:val="0"/>
        <w:spacing w:before="0" w:after="240"/>
        <w:jc w:val="left"/>
        <w:rPr>
          <w:rFonts w:ascii="Times New Roman" w:hAnsi="Times New Roman"/>
          <w:sz w:val="24"/>
        </w:rPr>
      </w:pPr>
      <w:r>
        <w:rPr>
          <w:rFonts w:ascii="Times New Roman" w:hAnsi="Times New Roman"/>
          <w:color w:val="000000"/>
          <w:sz w:val="24"/>
        </w:rPr>
        <w:t>(l) “</w:t>
      </w:r>
      <w:r>
        <w:rPr>
          <w:rFonts w:ascii="Times New Roman" w:hAnsi="Times New Roman"/>
          <w:color w:val="000000"/>
          <w:sz w:val="24"/>
          <w:u w:val="single"/>
        </w:rPr>
        <w:t>Disability</w:t>
      </w:r>
      <w:r>
        <w:rPr>
          <w:rFonts w:ascii="Times New Roman" w:hAnsi="Times New Roman"/>
          <w:color w:val="000000"/>
          <w:sz w:val="24"/>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pStyle w:val="TextBody"/>
        <w:bidi w:val="0"/>
        <w:spacing w:before="0" w:after="240"/>
        <w:jc w:val="left"/>
        <w:rPr>
          <w:rFonts w:ascii="Times New Roman" w:hAnsi="Times New Roman"/>
          <w:sz w:val="24"/>
        </w:rPr>
      </w:pPr>
      <w:r>
        <w:rPr>
          <w:rFonts w:ascii="Times New Roman" w:hAnsi="Times New Roman"/>
          <w:color w:val="000000"/>
          <w:sz w:val="24"/>
        </w:rPr>
        <w:t>(m) “</w:t>
      </w:r>
      <w:r>
        <w:rPr>
          <w:rFonts w:ascii="Times New Roman" w:hAnsi="Times New Roman"/>
          <w:color w:val="000000"/>
          <w:sz w:val="24"/>
          <w:u w:val="single"/>
        </w:rPr>
        <w:t>Employee</w:t>
      </w:r>
      <w:r>
        <w:rPr>
          <w:rFonts w:ascii="Times New Roman" w:hAnsi="Times New Roman"/>
          <w:color w:val="000000"/>
          <w:sz w:val="24"/>
        </w:rPr>
        <w:t>” means any person, including Officers and Directors, employed by the Company or any Parent or Subsidiary of the Company. Neither service as a Director nor payment of a director’s fee by the Company will be sufficient to constitute “employment” by the Company.</w:t>
      </w:r>
    </w:p>
    <w:p>
      <w:pPr>
        <w:pStyle w:val="TextBody"/>
        <w:bidi w:val="0"/>
        <w:spacing w:before="0" w:after="240"/>
        <w:jc w:val="left"/>
        <w:rPr>
          <w:rFonts w:ascii="Times New Roman" w:hAnsi="Times New Roman"/>
          <w:sz w:val="24"/>
        </w:rPr>
      </w:pPr>
      <w:r>
        <w:rPr>
          <w:rFonts w:ascii="Times New Roman" w:hAnsi="Times New Roman"/>
          <w:color w:val="000000"/>
          <w:sz w:val="24"/>
        </w:rPr>
        <w:t>(n) “</w:t>
      </w:r>
      <w:r>
        <w:rPr>
          <w:rFonts w:ascii="Times New Roman" w:hAnsi="Times New Roman"/>
          <w:color w:val="000000"/>
          <w:sz w:val="24"/>
          <w:u w:val="single"/>
        </w:rPr>
        <w:t>Exchange Act</w:t>
      </w:r>
      <w:r>
        <w:rPr>
          <w:rFonts w:ascii="Times New Roman" w:hAnsi="Times New Roman"/>
          <w:color w:val="000000"/>
          <w:sz w:val="24"/>
        </w:rPr>
        <w:t>” means the Securities Exchange Act of 1934, as amended.</w:t>
      </w:r>
    </w:p>
    <w:p>
      <w:pPr>
        <w:pStyle w:val="TextBody"/>
        <w:bidi w:val="0"/>
        <w:spacing w:before="0" w:after="240"/>
        <w:jc w:val="left"/>
        <w:rPr>
          <w:rFonts w:ascii="Times New Roman" w:hAnsi="Times New Roman"/>
          <w:sz w:val="24"/>
        </w:rPr>
      </w:pPr>
      <w:r>
        <w:rPr>
          <w:rFonts w:ascii="Times New Roman" w:hAnsi="Times New Roman"/>
          <w:color w:val="000000"/>
          <w:sz w:val="24"/>
        </w:rPr>
        <w:t>(o) “</w:t>
      </w:r>
      <w:r>
        <w:rPr>
          <w:rFonts w:ascii="Times New Roman" w:hAnsi="Times New Roman"/>
          <w:color w:val="000000"/>
          <w:sz w:val="24"/>
          <w:u w:val="single"/>
        </w:rPr>
        <w:t>Exchange Program</w:t>
      </w:r>
      <w:r>
        <w:rPr>
          <w:rFonts w:ascii="Times New Roman" w:hAnsi="Times New Roman"/>
          <w:color w:val="000000"/>
          <w:sz w:val="24"/>
        </w:rPr>
        <w:t xml:space="preserve">” means a program established by the Committee under which outstanding Awards are amended to provide for a lower exercise price or surrendered or cancelled in exchange for (i) Awards with a lower exercise price, (ii) a different type of Award or awards under a different equity incentive plan, (iii) cash, or (iv) a combination </w:t>
      </w:r>
    </w:p>
    <w:p>
      <w:pPr>
        <w:pStyle w:val="TextBody"/>
        <w:bidi w:val="0"/>
        <w:jc w:val="center"/>
        <w:rPr>
          <w:rFonts w:ascii="sans-serif" w:hAnsi="sans-serif"/>
          <w:color w:val="000000"/>
          <w:sz w:val="22"/>
        </w:rPr>
      </w:pPr>
      <w:r>
        <w:rPr>
          <w:rFonts w:ascii="sans-serif" w:hAnsi="sans-serif"/>
          <w:color w:val="000000"/>
          <w:sz w:val="22"/>
        </w:rPr>
        <w:t>3</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of (i), (ii) and/or (iii). Notwithstanding the preceding, the term Exchange Program does not include any (i) action described in Section 13 or any action taken in connection with a change in control transaction nor (ii) transfer or other disposition permitted under Section 12. For the purpose of clarity, each of the actions described in the prior sentence, none of which constitute an Exchange Program, may be undertaken (or authorized) by the Committee in its sole discretion without approval by the Company’s stockholders.</w:t>
      </w:r>
    </w:p>
    <w:p>
      <w:pPr>
        <w:pStyle w:val="TextBody"/>
        <w:bidi w:val="0"/>
        <w:spacing w:before="0" w:after="240"/>
        <w:jc w:val="left"/>
        <w:rPr>
          <w:rFonts w:ascii="Times New Roman" w:hAnsi="Times New Roman"/>
          <w:sz w:val="24"/>
        </w:rPr>
      </w:pPr>
      <w:r>
        <w:rPr>
          <w:rFonts w:ascii="Times New Roman" w:hAnsi="Times New Roman"/>
          <w:color w:val="000000"/>
          <w:sz w:val="24"/>
        </w:rPr>
        <w:t>(p) “</w:t>
      </w:r>
      <w:r>
        <w:rPr>
          <w:rFonts w:ascii="Times New Roman" w:hAnsi="Times New Roman"/>
          <w:color w:val="000000"/>
          <w:sz w:val="24"/>
          <w:u w:val="single"/>
        </w:rPr>
        <w:t>Fair Market Value</w:t>
      </w:r>
      <w:r>
        <w:rPr>
          <w:rFonts w:ascii="Times New Roman" w:hAnsi="Times New Roman"/>
          <w:color w:val="000000"/>
          <w:sz w:val="24"/>
        </w:rPr>
        <w:t>” means, as of any date, the value of Common Stock determined as follows:</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(i) If the Common Stock is listed on any established stock exchange or a national market system, including without limitation the New York Stock Exchange,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Times New Roman" w:hAnsi="Times New Roman"/>
          <w:i/>
          <w:color w:val="000000"/>
          <w:sz w:val="24"/>
        </w:rPr>
        <w:t xml:space="preserve">The Wall Street Journal </w:t>
      </w:r>
      <w:r>
        <w:rPr>
          <w:rFonts w:ascii="Times New Roman" w:hAnsi="Times New Roman"/>
          <w:color w:val="000000"/>
          <w:sz w:val="24"/>
        </w:rPr>
        <w:t>or such other source as the Administrator deems reliable;</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(ii) If the Common Stock is regularly quoted by a recognized securities dealer but selling prices are not reported, the Fair Market Value of a Share will be the mean between the high bid and low asked prices for the Common Stock as of the close of market on the day of determination, as reported in </w:t>
      </w:r>
      <w:r>
        <w:rPr>
          <w:rFonts w:ascii="Times New Roman" w:hAnsi="Times New Roman"/>
          <w:i/>
          <w:color w:val="000000"/>
          <w:sz w:val="24"/>
        </w:rPr>
        <w:t xml:space="preserve">The Wall Street Journal </w:t>
      </w:r>
      <w:r>
        <w:rPr>
          <w:rFonts w:ascii="Times New Roman" w:hAnsi="Times New Roman"/>
          <w:color w:val="000000"/>
          <w:sz w:val="24"/>
        </w:rPr>
        <w:t>or such other source as the Administrator deems reliable;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 In the absence of an established market for the Common Stock, the Fair Market Value will be determined in good faith by the Administrator.</w:t>
      </w:r>
    </w:p>
    <w:p>
      <w:pPr>
        <w:pStyle w:val="TextBody"/>
        <w:bidi w:val="0"/>
        <w:spacing w:before="0" w:after="240"/>
        <w:jc w:val="left"/>
        <w:rPr>
          <w:rFonts w:ascii="Times New Roman" w:hAnsi="Times New Roman"/>
          <w:sz w:val="24"/>
        </w:rPr>
      </w:pPr>
      <w:r>
        <w:rPr>
          <w:rFonts w:ascii="Times New Roman" w:hAnsi="Times New Roman"/>
          <w:color w:val="000000"/>
          <w:sz w:val="24"/>
        </w:rPr>
        <w:t>(q) “</w:t>
      </w:r>
      <w:r>
        <w:rPr>
          <w:rFonts w:ascii="Times New Roman" w:hAnsi="Times New Roman"/>
          <w:color w:val="000000"/>
          <w:sz w:val="24"/>
          <w:u w:val="single"/>
        </w:rPr>
        <w:t>Fiscal Year</w:t>
      </w:r>
      <w:r>
        <w:rPr>
          <w:rFonts w:ascii="Times New Roman" w:hAnsi="Times New Roman"/>
          <w:color w:val="000000"/>
          <w:sz w:val="24"/>
        </w:rPr>
        <w:t>” means the fiscal year of the Company.</w:t>
      </w:r>
    </w:p>
    <w:p>
      <w:pPr>
        <w:pStyle w:val="TextBody"/>
        <w:bidi w:val="0"/>
        <w:spacing w:before="0" w:after="240"/>
        <w:jc w:val="left"/>
        <w:rPr>
          <w:rFonts w:ascii="Times New Roman" w:hAnsi="Times New Roman"/>
          <w:sz w:val="24"/>
        </w:rPr>
      </w:pPr>
      <w:r>
        <w:rPr>
          <w:rFonts w:ascii="Times New Roman" w:hAnsi="Times New Roman"/>
          <w:color w:val="000000"/>
          <w:sz w:val="24"/>
        </w:rPr>
        <w:t>(r) “</w:t>
      </w:r>
      <w:r>
        <w:rPr>
          <w:rFonts w:ascii="Times New Roman" w:hAnsi="Times New Roman"/>
          <w:color w:val="000000"/>
          <w:sz w:val="24"/>
          <w:u w:val="single"/>
        </w:rPr>
        <w:t>Incentive Stock Option</w:t>
      </w:r>
      <w:r>
        <w:rPr>
          <w:rFonts w:ascii="Times New Roman" w:hAnsi="Times New Roman"/>
          <w:color w:val="000000"/>
          <w:sz w:val="24"/>
        </w:rPr>
        <w:t>” means an Option intended to qualify as an incentive stock option within the meaning of Section 422 of the Code and the regulations promulgated thereunder.</w:t>
      </w:r>
    </w:p>
    <w:p>
      <w:pPr>
        <w:pStyle w:val="TextBody"/>
        <w:bidi w:val="0"/>
        <w:spacing w:before="0" w:after="240"/>
        <w:jc w:val="left"/>
        <w:rPr>
          <w:rFonts w:ascii="Times New Roman" w:hAnsi="Times New Roman"/>
          <w:sz w:val="24"/>
        </w:rPr>
      </w:pPr>
      <w:r>
        <w:rPr>
          <w:rFonts w:ascii="Times New Roman" w:hAnsi="Times New Roman"/>
          <w:color w:val="000000"/>
          <w:sz w:val="24"/>
        </w:rPr>
        <w:t>(s) “</w:t>
      </w:r>
      <w:r>
        <w:rPr>
          <w:rFonts w:ascii="Times New Roman" w:hAnsi="Times New Roman"/>
          <w:color w:val="000000"/>
          <w:sz w:val="24"/>
          <w:u w:val="single"/>
        </w:rPr>
        <w:t>Independent Contractor</w:t>
      </w:r>
      <w:r>
        <w:rPr>
          <w:rFonts w:ascii="Times New Roman" w:hAnsi="Times New Roman"/>
          <w:color w:val="000000"/>
          <w:sz w:val="24"/>
        </w:rPr>
        <w:t>” means any person, including an advisor, consultant or agent engaged by the Company or a Parent or Subsidiary to render services to such entity.</w:t>
      </w:r>
    </w:p>
    <w:p>
      <w:pPr>
        <w:pStyle w:val="TextBody"/>
        <w:bidi w:val="0"/>
        <w:spacing w:before="0" w:after="240"/>
        <w:jc w:val="left"/>
        <w:rPr>
          <w:rFonts w:ascii="Times New Roman" w:hAnsi="Times New Roman"/>
          <w:sz w:val="24"/>
        </w:rPr>
      </w:pPr>
      <w:r>
        <w:rPr>
          <w:rFonts w:ascii="Times New Roman" w:hAnsi="Times New Roman"/>
          <w:color w:val="000000"/>
          <w:sz w:val="24"/>
        </w:rPr>
        <w:t>(t) “</w:t>
      </w:r>
      <w:r>
        <w:rPr>
          <w:rFonts w:ascii="Times New Roman" w:hAnsi="Times New Roman"/>
          <w:color w:val="000000"/>
          <w:sz w:val="24"/>
          <w:u w:val="single"/>
        </w:rPr>
        <w:t>Inside Director</w:t>
      </w:r>
      <w:r>
        <w:rPr>
          <w:rFonts w:ascii="Times New Roman" w:hAnsi="Times New Roman"/>
          <w:color w:val="000000"/>
          <w:sz w:val="24"/>
        </w:rPr>
        <w:t>” means a Director who is an Employee.</w:t>
      </w:r>
    </w:p>
    <w:p>
      <w:pPr>
        <w:pStyle w:val="TextBody"/>
        <w:bidi w:val="0"/>
        <w:spacing w:before="0" w:after="240"/>
        <w:jc w:val="left"/>
        <w:rPr>
          <w:rFonts w:ascii="Times New Roman" w:hAnsi="Times New Roman"/>
          <w:sz w:val="24"/>
        </w:rPr>
      </w:pPr>
      <w:r>
        <w:rPr>
          <w:rFonts w:ascii="Times New Roman" w:hAnsi="Times New Roman"/>
          <w:color w:val="000000"/>
          <w:sz w:val="24"/>
        </w:rPr>
        <w:t>(u) “</w:t>
      </w:r>
      <w:r>
        <w:rPr>
          <w:rFonts w:ascii="Times New Roman" w:hAnsi="Times New Roman"/>
          <w:color w:val="000000"/>
          <w:sz w:val="24"/>
          <w:u w:val="single"/>
        </w:rPr>
        <w:t>Nonstatutory Stock Option</w:t>
      </w:r>
      <w:r>
        <w:rPr>
          <w:rFonts w:ascii="Times New Roman" w:hAnsi="Times New Roman"/>
          <w:color w:val="000000"/>
          <w:sz w:val="24"/>
        </w:rPr>
        <w:t>” means an Option that by its terms does not qualify or is not intended to qualify as an Incentive Stock Option.</w:t>
      </w:r>
    </w:p>
    <w:p>
      <w:pPr>
        <w:pStyle w:val="TextBody"/>
        <w:bidi w:val="0"/>
        <w:spacing w:before="0" w:after="240"/>
        <w:jc w:val="left"/>
        <w:rPr>
          <w:rFonts w:ascii="Times New Roman" w:hAnsi="Times New Roman"/>
          <w:sz w:val="24"/>
        </w:rPr>
      </w:pPr>
      <w:r>
        <w:rPr>
          <w:rFonts w:ascii="Times New Roman" w:hAnsi="Times New Roman"/>
          <w:color w:val="000000"/>
          <w:sz w:val="24"/>
        </w:rPr>
        <w:t>(v) “</w:t>
      </w:r>
      <w:r>
        <w:rPr>
          <w:rFonts w:ascii="Times New Roman" w:hAnsi="Times New Roman"/>
          <w:color w:val="000000"/>
          <w:sz w:val="24"/>
          <w:u w:val="single"/>
        </w:rPr>
        <w:t>Officer</w:t>
      </w:r>
      <w:r>
        <w:rPr>
          <w:rFonts w:ascii="Times New Roman" w:hAnsi="Times New Roman"/>
          <w:color w:val="000000"/>
          <w:sz w:val="24"/>
        </w:rPr>
        <w:t>” means a person who is an officer of the Company within the meaning of Section 16 of the Exchange Act and the rules and regulations promulgated thereunder.</w:t>
      </w:r>
    </w:p>
    <w:p>
      <w:pPr>
        <w:pStyle w:val="TextBody"/>
        <w:bidi w:val="0"/>
        <w:spacing w:before="0" w:after="240"/>
        <w:jc w:val="left"/>
        <w:rPr>
          <w:rFonts w:ascii="Times New Roman" w:hAnsi="Times New Roman"/>
          <w:sz w:val="24"/>
        </w:rPr>
      </w:pPr>
      <w:r>
        <w:rPr>
          <w:rFonts w:ascii="Times New Roman" w:hAnsi="Times New Roman"/>
          <w:color w:val="000000"/>
          <w:sz w:val="24"/>
        </w:rPr>
        <w:t>(w) “</w:t>
      </w:r>
      <w:r>
        <w:rPr>
          <w:rFonts w:ascii="Times New Roman" w:hAnsi="Times New Roman"/>
          <w:color w:val="000000"/>
          <w:sz w:val="24"/>
          <w:u w:val="single"/>
        </w:rPr>
        <w:t>Option</w:t>
      </w:r>
      <w:r>
        <w:rPr>
          <w:rFonts w:ascii="Times New Roman" w:hAnsi="Times New Roman"/>
          <w:color w:val="000000"/>
          <w:sz w:val="24"/>
        </w:rPr>
        <w:t>” means a stock option granted pursuant to the Plan.</w:t>
      </w:r>
    </w:p>
    <w:p>
      <w:pPr>
        <w:pStyle w:val="TextBody"/>
        <w:bidi w:val="0"/>
        <w:jc w:val="center"/>
        <w:rPr>
          <w:rFonts w:ascii="sans-serif" w:hAnsi="sans-serif"/>
          <w:color w:val="000000"/>
          <w:sz w:val="22"/>
        </w:rPr>
      </w:pPr>
      <w:r>
        <w:rPr>
          <w:rFonts w:ascii="sans-serif" w:hAnsi="sans-serif"/>
          <w:color w:val="000000"/>
          <w:sz w:val="22"/>
        </w:rPr>
        <w:t>4</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4"/>
        </w:rPr>
      </w:pPr>
      <w:r>
        <w:rPr>
          <w:rFonts w:ascii="Times New Roman" w:hAnsi="Times New Roman"/>
          <w:color w:val="000000"/>
          <w:sz w:val="24"/>
        </w:rPr>
        <w:t>(x) “</w:t>
      </w:r>
      <w:r>
        <w:rPr>
          <w:rFonts w:ascii="Times New Roman" w:hAnsi="Times New Roman"/>
          <w:color w:val="000000"/>
          <w:sz w:val="24"/>
          <w:u w:val="single"/>
        </w:rPr>
        <w:t>Outside Director</w:t>
      </w:r>
      <w:r>
        <w:rPr>
          <w:rFonts w:ascii="Times New Roman" w:hAnsi="Times New Roman"/>
          <w:color w:val="000000"/>
          <w:sz w:val="24"/>
        </w:rPr>
        <w:t>” means a Director who is not an Employee.</w:t>
      </w:r>
    </w:p>
    <w:p>
      <w:pPr>
        <w:pStyle w:val="TextBody"/>
        <w:bidi w:val="0"/>
        <w:spacing w:before="0" w:after="240"/>
        <w:jc w:val="left"/>
        <w:rPr>
          <w:rFonts w:ascii="Times New Roman" w:hAnsi="Times New Roman"/>
          <w:sz w:val="24"/>
        </w:rPr>
      </w:pPr>
      <w:r>
        <w:rPr>
          <w:rFonts w:ascii="Times New Roman" w:hAnsi="Times New Roman"/>
          <w:color w:val="000000"/>
          <w:sz w:val="24"/>
        </w:rPr>
        <w:t>(y) “</w:t>
      </w:r>
      <w:r>
        <w:rPr>
          <w:rFonts w:ascii="Times New Roman" w:hAnsi="Times New Roman"/>
          <w:color w:val="000000"/>
          <w:sz w:val="24"/>
          <w:u w:val="single"/>
        </w:rPr>
        <w:t>Parent</w:t>
      </w:r>
      <w:r>
        <w:rPr>
          <w:rFonts w:ascii="Times New Roman" w:hAnsi="Times New Roman"/>
          <w:color w:val="000000"/>
          <w:sz w:val="24"/>
        </w:rPr>
        <w:t>” means any corporation (other than the Company) in an unbroken chain of corporations ending with the Company if each of the corporations other than the Company owns stock possessing fifty percent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pStyle w:val="TextBody"/>
        <w:bidi w:val="0"/>
        <w:spacing w:before="0" w:after="240"/>
        <w:jc w:val="left"/>
        <w:rPr>
          <w:rFonts w:ascii="Times New Roman" w:hAnsi="Times New Roman"/>
          <w:sz w:val="24"/>
        </w:rPr>
      </w:pPr>
      <w:r>
        <w:rPr>
          <w:rFonts w:ascii="Times New Roman" w:hAnsi="Times New Roman"/>
          <w:color w:val="000000"/>
          <w:sz w:val="24"/>
        </w:rPr>
        <w:t>(z) “</w:t>
      </w:r>
      <w:r>
        <w:rPr>
          <w:rFonts w:ascii="Times New Roman" w:hAnsi="Times New Roman"/>
          <w:color w:val="000000"/>
          <w:sz w:val="24"/>
          <w:u w:val="single"/>
        </w:rPr>
        <w:t>Participant</w:t>
      </w:r>
      <w:r>
        <w:rPr>
          <w:rFonts w:ascii="Times New Roman" w:hAnsi="Times New Roman"/>
          <w:color w:val="000000"/>
          <w:sz w:val="24"/>
        </w:rPr>
        <w:t>” means the holder of an outstanding Award.</w:t>
      </w:r>
    </w:p>
    <w:p>
      <w:pPr>
        <w:pStyle w:val="TextBody"/>
        <w:bidi w:val="0"/>
        <w:spacing w:before="0" w:after="240"/>
        <w:jc w:val="left"/>
        <w:rPr>
          <w:rFonts w:ascii="Times New Roman" w:hAnsi="Times New Roman"/>
          <w:sz w:val="24"/>
        </w:rPr>
      </w:pPr>
      <w:r>
        <w:rPr>
          <w:rFonts w:ascii="Times New Roman" w:hAnsi="Times New Roman"/>
          <w:color w:val="000000"/>
          <w:sz w:val="24"/>
        </w:rPr>
        <w:t>(aa) “</w:t>
      </w:r>
      <w:r>
        <w:rPr>
          <w:rFonts w:ascii="Times New Roman" w:hAnsi="Times New Roman"/>
          <w:color w:val="000000"/>
          <w:sz w:val="24"/>
          <w:u w:val="single"/>
        </w:rPr>
        <w:t>Performance Goal</w:t>
      </w:r>
      <w:r>
        <w:rPr>
          <w:rFonts w:ascii="Times New Roman" w:hAnsi="Times New Roman"/>
          <w:color w:val="000000"/>
          <w:sz w:val="24"/>
        </w:rPr>
        <w:t>” means a performance goal established by the Committee pursuant to Section 10(c) of the Plan.</w:t>
      </w:r>
    </w:p>
    <w:p>
      <w:pPr>
        <w:pStyle w:val="TextBody"/>
        <w:bidi w:val="0"/>
        <w:spacing w:before="0" w:after="240"/>
        <w:jc w:val="left"/>
        <w:rPr>
          <w:rFonts w:ascii="Times New Roman" w:hAnsi="Times New Roman"/>
          <w:sz w:val="24"/>
        </w:rPr>
      </w:pPr>
      <w:r>
        <w:rPr>
          <w:rFonts w:ascii="Times New Roman" w:hAnsi="Times New Roman"/>
          <w:color w:val="000000"/>
          <w:sz w:val="24"/>
        </w:rPr>
        <w:t>(bb) “</w:t>
      </w:r>
      <w:r>
        <w:rPr>
          <w:rFonts w:ascii="Times New Roman" w:hAnsi="Times New Roman"/>
          <w:color w:val="000000"/>
          <w:sz w:val="24"/>
          <w:u w:val="single"/>
        </w:rPr>
        <w:t>Performance Share</w:t>
      </w:r>
      <w:r>
        <w:rPr>
          <w:rFonts w:ascii="Times New Roman" w:hAnsi="Times New Roman"/>
          <w:color w:val="000000"/>
          <w:sz w:val="24"/>
        </w:rPr>
        <w:t>” means an Award denominated in Shares which may be earned in whole or in part upon attainment of Performance Goals or other vesting criteria as the Administrator may determine pursuant to Section 10.</w:t>
      </w:r>
    </w:p>
    <w:p>
      <w:pPr>
        <w:pStyle w:val="TextBody"/>
        <w:bidi w:val="0"/>
        <w:spacing w:before="0" w:after="240"/>
        <w:jc w:val="left"/>
        <w:rPr>
          <w:rFonts w:ascii="Times New Roman" w:hAnsi="Times New Roman"/>
          <w:sz w:val="24"/>
        </w:rPr>
      </w:pPr>
      <w:r>
        <w:rPr>
          <w:rFonts w:ascii="Times New Roman" w:hAnsi="Times New Roman"/>
          <w:color w:val="000000"/>
          <w:sz w:val="24"/>
        </w:rPr>
        <w:t>(cc) “</w:t>
      </w:r>
      <w:r>
        <w:rPr>
          <w:rFonts w:ascii="Times New Roman" w:hAnsi="Times New Roman"/>
          <w:color w:val="000000"/>
          <w:sz w:val="24"/>
          <w:u w:val="single"/>
        </w:rPr>
        <w:t>Performance Unit</w:t>
      </w:r>
      <w:r>
        <w:rPr>
          <w:rFonts w:ascii="Times New Roman" w:hAnsi="Times New Roman"/>
          <w:color w:val="000000"/>
          <w:sz w:val="24"/>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pStyle w:val="TextBody"/>
        <w:bidi w:val="0"/>
        <w:spacing w:before="0" w:after="240"/>
        <w:jc w:val="left"/>
        <w:rPr>
          <w:rFonts w:ascii="Times New Roman" w:hAnsi="Times New Roman"/>
          <w:sz w:val="24"/>
        </w:rPr>
      </w:pPr>
      <w:r>
        <w:rPr>
          <w:rFonts w:ascii="Times New Roman" w:hAnsi="Times New Roman"/>
          <w:color w:val="000000"/>
          <w:sz w:val="24"/>
        </w:rPr>
        <w:t>(dd) “</w:t>
      </w:r>
      <w:r>
        <w:rPr>
          <w:rFonts w:ascii="Times New Roman" w:hAnsi="Times New Roman"/>
          <w:color w:val="000000"/>
          <w:sz w:val="24"/>
          <w:u w:val="single"/>
        </w:rPr>
        <w:t>Period of Restriction</w:t>
      </w:r>
      <w:r>
        <w:rPr>
          <w:rFonts w:ascii="Times New Roman" w:hAnsi="Times New Roman"/>
          <w:color w:val="000000"/>
          <w:sz w:val="24"/>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pStyle w:val="TextBody"/>
        <w:bidi w:val="0"/>
        <w:spacing w:before="0" w:after="240"/>
        <w:jc w:val="left"/>
        <w:rPr>
          <w:rFonts w:ascii="Times New Roman" w:hAnsi="Times New Roman"/>
          <w:sz w:val="24"/>
        </w:rPr>
      </w:pPr>
      <w:r>
        <w:rPr>
          <w:rFonts w:ascii="Times New Roman" w:hAnsi="Times New Roman"/>
          <w:color w:val="000000"/>
          <w:sz w:val="24"/>
        </w:rPr>
        <w:t>(ee) “</w:t>
      </w:r>
      <w:r>
        <w:rPr>
          <w:rFonts w:ascii="Times New Roman" w:hAnsi="Times New Roman"/>
          <w:color w:val="000000"/>
          <w:sz w:val="24"/>
          <w:u w:val="single"/>
        </w:rPr>
        <w:t>Plan</w:t>
      </w:r>
      <w:r>
        <w:rPr>
          <w:rFonts w:ascii="Times New Roman" w:hAnsi="Times New Roman"/>
          <w:color w:val="000000"/>
          <w:sz w:val="24"/>
        </w:rPr>
        <w:t>” means this 2026 Omnibus Equity Incentive Plan.</w:t>
      </w:r>
    </w:p>
    <w:p>
      <w:pPr>
        <w:pStyle w:val="TextBody"/>
        <w:bidi w:val="0"/>
        <w:spacing w:before="0" w:after="240"/>
        <w:jc w:val="left"/>
        <w:rPr>
          <w:rFonts w:ascii="Times New Roman" w:hAnsi="Times New Roman"/>
          <w:sz w:val="24"/>
        </w:rPr>
      </w:pPr>
      <w:r>
        <w:rPr>
          <w:rFonts w:ascii="Times New Roman" w:hAnsi="Times New Roman"/>
          <w:color w:val="000000"/>
          <w:sz w:val="24"/>
        </w:rPr>
        <w:t>(ff) “</w:t>
      </w:r>
      <w:r>
        <w:rPr>
          <w:rFonts w:ascii="Times New Roman" w:hAnsi="Times New Roman"/>
          <w:color w:val="000000"/>
          <w:sz w:val="24"/>
          <w:u w:val="single"/>
        </w:rPr>
        <w:t>Restricted Stock</w:t>
      </w:r>
      <w:r>
        <w:rPr>
          <w:rFonts w:ascii="Times New Roman" w:hAnsi="Times New Roman"/>
          <w:color w:val="000000"/>
          <w:sz w:val="24"/>
        </w:rPr>
        <w:t>” means Shares issued pursuant to a Restricted Stock award under Section 7 of the Plan.</w:t>
      </w:r>
    </w:p>
    <w:p>
      <w:pPr>
        <w:pStyle w:val="TextBody"/>
        <w:bidi w:val="0"/>
        <w:spacing w:before="0" w:after="240"/>
        <w:jc w:val="left"/>
        <w:rPr>
          <w:rFonts w:ascii="Times New Roman" w:hAnsi="Times New Roman"/>
          <w:sz w:val="24"/>
        </w:rPr>
      </w:pPr>
      <w:r>
        <w:rPr>
          <w:rFonts w:ascii="Times New Roman" w:hAnsi="Times New Roman"/>
          <w:color w:val="000000"/>
          <w:sz w:val="24"/>
        </w:rPr>
        <w:t>(gg) “</w:t>
      </w:r>
      <w:r>
        <w:rPr>
          <w:rFonts w:ascii="Times New Roman" w:hAnsi="Times New Roman"/>
          <w:color w:val="000000"/>
          <w:sz w:val="24"/>
          <w:u w:val="single"/>
        </w:rPr>
        <w:t>Restricted Stock Unit</w:t>
      </w:r>
      <w:r>
        <w:rPr>
          <w:rFonts w:ascii="Times New Roman" w:hAnsi="Times New Roman"/>
          <w:color w:val="000000"/>
          <w:sz w:val="24"/>
        </w:rPr>
        <w:t>” means a bookkeeping entry representing the number of Shares into which the Award or the dollar amount of the Award has been converted based upon the Fair Market Value per Share, as described in Section 8 below. Upon vesting, or the lapse of restrictions thereon, each Restricted Stock Unit will be converted into a Share on a one-for-one basis or other consideration as described in Section 8 below. Each Restricted Stock Unit represents an unfunded and unsecured obligation of the Company.</w:t>
      </w:r>
    </w:p>
    <w:p>
      <w:pPr>
        <w:pStyle w:val="TextBody"/>
        <w:bidi w:val="0"/>
        <w:spacing w:before="0" w:after="240"/>
        <w:jc w:val="left"/>
        <w:rPr>
          <w:rFonts w:ascii="Times New Roman" w:hAnsi="Times New Roman"/>
          <w:sz w:val="24"/>
        </w:rPr>
      </w:pPr>
      <w:r>
        <w:rPr>
          <w:rFonts w:ascii="Times New Roman" w:hAnsi="Times New Roman"/>
          <w:color w:val="000000"/>
          <w:sz w:val="24"/>
        </w:rPr>
        <w:t>(hh) “</w:t>
      </w:r>
      <w:r>
        <w:rPr>
          <w:rFonts w:ascii="Times New Roman" w:hAnsi="Times New Roman"/>
          <w:color w:val="000000"/>
          <w:sz w:val="24"/>
          <w:u w:val="single"/>
        </w:rPr>
        <w:t>Rule 16b-3</w:t>
      </w:r>
      <w:r>
        <w:rPr>
          <w:rFonts w:ascii="Times New Roman" w:hAnsi="Times New Roman"/>
          <w:color w:val="000000"/>
          <w:sz w:val="24"/>
        </w:rPr>
        <w:t>” means Rule 16b-3 of the Exchange Act or any successor to Rule 16b-3, as in effect when discretion is being exercised with respect to the Plan.</w:t>
      </w:r>
    </w:p>
    <w:p>
      <w:pPr>
        <w:pStyle w:val="TextBody"/>
        <w:bidi w:val="0"/>
        <w:spacing w:before="0" w:after="240"/>
        <w:jc w:val="left"/>
        <w:rPr>
          <w:rFonts w:ascii="Times New Roman" w:hAnsi="Times New Roman"/>
          <w:sz w:val="24"/>
        </w:rPr>
      </w:pPr>
      <w:r>
        <w:rPr>
          <w:rFonts w:ascii="Times New Roman" w:hAnsi="Times New Roman"/>
          <w:color w:val="000000"/>
          <w:sz w:val="24"/>
        </w:rPr>
        <w:t>(ii) “</w:t>
      </w:r>
      <w:r>
        <w:rPr>
          <w:rFonts w:ascii="Times New Roman" w:hAnsi="Times New Roman"/>
          <w:color w:val="000000"/>
          <w:sz w:val="24"/>
          <w:u w:val="single"/>
        </w:rPr>
        <w:t>Section 16(b)</w:t>
      </w:r>
      <w:r>
        <w:rPr>
          <w:rFonts w:ascii="Times New Roman" w:hAnsi="Times New Roman"/>
          <w:color w:val="000000"/>
          <w:sz w:val="24"/>
        </w:rPr>
        <w:t>” means Section 16(b) of the Exchange Act.</w:t>
      </w:r>
    </w:p>
    <w:p>
      <w:pPr>
        <w:pStyle w:val="TextBody"/>
        <w:bidi w:val="0"/>
        <w:spacing w:before="0" w:after="240"/>
        <w:jc w:val="left"/>
        <w:rPr>
          <w:rFonts w:ascii="Times New Roman" w:hAnsi="Times New Roman"/>
          <w:sz w:val="24"/>
        </w:rPr>
      </w:pPr>
      <w:r>
        <w:rPr>
          <w:rFonts w:ascii="Times New Roman" w:hAnsi="Times New Roman"/>
          <w:color w:val="000000"/>
          <w:sz w:val="24"/>
        </w:rPr>
        <w:t>(jj) “</w:t>
      </w:r>
      <w:r>
        <w:rPr>
          <w:rFonts w:ascii="Times New Roman" w:hAnsi="Times New Roman"/>
          <w:color w:val="000000"/>
          <w:sz w:val="24"/>
          <w:u w:val="single"/>
        </w:rPr>
        <w:t>Service Provider</w:t>
      </w:r>
      <w:r>
        <w:rPr>
          <w:rFonts w:ascii="Times New Roman" w:hAnsi="Times New Roman"/>
          <w:color w:val="000000"/>
          <w:sz w:val="24"/>
        </w:rPr>
        <w:t>” means an Employee, Director or Independent Contractor.</w:t>
      </w:r>
    </w:p>
    <w:p>
      <w:pPr>
        <w:pStyle w:val="TextBody"/>
        <w:bidi w:val="0"/>
        <w:jc w:val="center"/>
        <w:rPr>
          <w:rFonts w:ascii="sans-serif" w:hAnsi="sans-serif"/>
          <w:color w:val="000000"/>
          <w:sz w:val="22"/>
        </w:rPr>
      </w:pPr>
      <w:r>
        <w:rPr>
          <w:rFonts w:ascii="sans-serif" w:hAnsi="sans-serif"/>
          <w:color w:val="000000"/>
          <w:sz w:val="22"/>
        </w:rPr>
        <w:t>5</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4"/>
        </w:rPr>
      </w:pPr>
      <w:r>
        <w:rPr>
          <w:rFonts w:ascii="Times New Roman" w:hAnsi="Times New Roman"/>
          <w:color w:val="000000"/>
          <w:sz w:val="24"/>
        </w:rPr>
        <w:t>(kk) “</w:t>
      </w:r>
      <w:r>
        <w:rPr>
          <w:rFonts w:ascii="Times New Roman" w:hAnsi="Times New Roman"/>
          <w:color w:val="000000"/>
          <w:sz w:val="24"/>
          <w:u w:val="single"/>
        </w:rPr>
        <w:t>Share</w:t>
      </w:r>
      <w:r>
        <w:rPr>
          <w:rFonts w:ascii="Times New Roman" w:hAnsi="Times New Roman"/>
          <w:color w:val="000000"/>
          <w:sz w:val="24"/>
        </w:rPr>
        <w:t>” means a share of the Common Stock, as adjusted in accordance with Section 13 of the Plan.</w:t>
      </w:r>
    </w:p>
    <w:p>
      <w:pPr>
        <w:pStyle w:val="TextBody"/>
        <w:bidi w:val="0"/>
        <w:spacing w:before="0" w:after="240"/>
        <w:jc w:val="left"/>
        <w:rPr>
          <w:rFonts w:ascii="Times New Roman" w:hAnsi="Times New Roman"/>
          <w:sz w:val="24"/>
        </w:rPr>
      </w:pPr>
      <w:r>
        <w:rPr>
          <w:rFonts w:ascii="Times New Roman" w:hAnsi="Times New Roman"/>
          <w:color w:val="000000"/>
          <w:sz w:val="24"/>
        </w:rPr>
        <w:t>(ll) “</w:t>
      </w:r>
      <w:r>
        <w:rPr>
          <w:rFonts w:ascii="Times New Roman" w:hAnsi="Times New Roman"/>
          <w:color w:val="000000"/>
          <w:sz w:val="24"/>
          <w:u w:val="single"/>
        </w:rPr>
        <w:t>Stock Appreciation Right</w:t>
      </w:r>
      <w:r>
        <w:rPr>
          <w:rFonts w:ascii="Times New Roman" w:hAnsi="Times New Roman"/>
          <w:color w:val="000000"/>
          <w:sz w:val="24"/>
        </w:rPr>
        <w:t>” means an Award, granted alone or in connection with an Option, that pursuant to Section 9 is designated as a Stock Appreciation Right.</w:t>
      </w:r>
    </w:p>
    <w:p>
      <w:pPr>
        <w:pStyle w:val="TextBody"/>
        <w:bidi w:val="0"/>
        <w:spacing w:before="0" w:after="240"/>
        <w:jc w:val="left"/>
        <w:rPr>
          <w:rFonts w:ascii="Times New Roman" w:hAnsi="Times New Roman"/>
          <w:sz w:val="24"/>
        </w:rPr>
      </w:pPr>
      <w:r>
        <w:rPr>
          <w:rFonts w:ascii="Times New Roman" w:hAnsi="Times New Roman"/>
          <w:color w:val="000000"/>
          <w:sz w:val="24"/>
        </w:rPr>
        <w:t>(mm) “</w:t>
      </w:r>
      <w:r>
        <w:rPr>
          <w:rFonts w:ascii="Times New Roman" w:hAnsi="Times New Roman"/>
          <w:color w:val="000000"/>
          <w:sz w:val="24"/>
          <w:u w:val="single"/>
        </w:rPr>
        <w:t>Subsidiary</w:t>
      </w:r>
      <w:r>
        <w:rPr>
          <w:rFonts w:ascii="Times New Roman" w:hAnsi="Times New Roman"/>
          <w:color w:val="000000"/>
          <w:sz w:val="24"/>
        </w:rPr>
        <w:t>” 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3. </w:t>
      </w:r>
      <w:r>
        <w:rPr>
          <w:rFonts w:ascii="Times New Roman" w:hAnsi="Times New Roman"/>
          <w:color w:val="000000"/>
          <w:sz w:val="24"/>
          <w:u w:val="single"/>
        </w:rPr>
        <w:t>Stock Subject to the Plan</w:t>
      </w:r>
      <w:r>
        <w:rPr>
          <w:rFonts w:ascii="Times New Roman" w:hAnsi="Times New Roman"/>
          <w:color w:val="000000"/>
          <w:sz w:val="24"/>
        </w:rPr>
        <w:t>.</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Stock Subject to the Plan</w:t>
      </w:r>
      <w:r>
        <w:rPr>
          <w:rFonts w:ascii="Times New Roman" w:hAnsi="Times New Roman"/>
          <w:color w:val="000000"/>
          <w:sz w:val="24"/>
        </w:rPr>
        <w:t xml:space="preserve">. Subject to the provisions of Section 13 of the Plan, the maximum aggregate number of Shares that may be issued under the Plan is 400,000 Shares (the “Initial Limit”), plus the additional Shares that may become available for issuance under the Plan pursuant to Section 3(b) below. The Shares may be authorized, but unissued, or reacquired Common Stock. Notwithstanding the foregoing and, subject to adjustment as provided in Section 13, the maximum number of Shares that may be issued upon the exercise of Incentive Stock Options shall not exceed (i) 4,000,000 Shares plus, (ii) to the extent allowable under Section 422 of the Code and the Treasury Regulations promulgated thereunder, any Shares that become available for issuance under the Plan pursuant to Section 3(c) plus, (iii) to the extent allowable under Section 422 of the Code and the Treasury Regulations promulgated thereunder, a number of Shares cumulatively increased on January 1, 2027 and each year thereafter equal to the lesser of (A) the Initial Limit and (B) the Annual Increase. </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(b) </w:t>
      </w:r>
      <w:r>
        <w:rPr>
          <w:rFonts w:ascii="Times New Roman" w:hAnsi="Times New Roman"/>
          <w:color w:val="000000"/>
          <w:sz w:val="24"/>
          <w:u w:val="single"/>
        </w:rPr>
        <w:t>Automatic Share Reserve Increase</w:t>
      </w:r>
      <w:r>
        <w:rPr>
          <w:rFonts w:ascii="Times New Roman" w:hAnsi="Times New Roman"/>
          <w:color w:val="000000"/>
          <w:sz w:val="24"/>
        </w:rPr>
        <w:t>. The number of Shares available for issuance under the Plan will be increased on the first day of each year commencing January 1, 2027, in an amount equal to the lesser of (i) four percent (4%) of the outstanding Shares on the last day of the immediately preceding calendar year or (ii) such other number of Shares determined by the Board with respect to such year commencing January 1 prior to such date (the “Annual Increase”).</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(c) </w:t>
      </w:r>
      <w:r>
        <w:rPr>
          <w:rFonts w:ascii="Times New Roman" w:hAnsi="Times New Roman"/>
          <w:color w:val="000000"/>
          <w:sz w:val="24"/>
          <w:u w:val="single"/>
        </w:rPr>
        <w:t>Lapsed, Returned Awards</w:t>
      </w:r>
      <w:r>
        <w:rPr>
          <w:rFonts w:ascii="Times New Roman" w:hAnsi="Times New Roman"/>
          <w:color w:val="000000"/>
          <w:sz w:val="24"/>
        </w:rPr>
        <w:t xml:space="preserve">. To the extent an Award expires, is surrendered pursuant to an Exchange Program or becomes unexercisable without having been exercised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which were subject thereto will become available for future grant or sale under the Plan (unless the Plan has terminated). Notwithstanding the foregoing (and except with respect to Shares of Restricted Stock that are forfeited rather than vesting),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w:t>
      </w:r>
    </w:p>
    <w:p>
      <w:pPr>
        <w:pStyle w:val="TextBody"/>
        <w:bidi w:val="0"/>
        <w:jc w:val="center"/>
        <w:rPr>
          <w:rFonts w:ascii="sans-serif" w:hAnsi="sans-serif"/>
          <w:color w:val="000000"/>
          <w:sz w:val="22"/>
        </w:rPr>
      </w:pPr>
      <w:r>
        <w:rPr>
          <w:rFonts w:ascii="sans-serif" w:hAnsi="sans-serif"/>
          <w:color w:val="000000"/>
          <w:sz w:val="22"/>
        </w:rPr>
        <w:t>6</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Performance Units are repurchased by the Company or are forfeited to the Company, such Shares will become available for future grant under the Plan. In the event the Company repurchases Shares on the open market, such shares shall not be added to the Shares available for issuance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 For the avoidance of doubt, Shares that otherwise become available for grant and issuance because of the provisions of this Section 3(c) will not include Shares subject to Awards that initially became available because of the substitution clause in Section 13(d) hereof.</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4. </w:t>
      </w:r>
      <w:r>
        <w:rPr>
          <w:rFonts w:ascii="Times New Roman" w:hAnsi="Times New Roman"/>
          <w:color w:val="000000"/>
          <w:sz w:val="24"/>
          <w:u w:val="single"/>
        </w:rPr>
        <w:t>Administration of the Plan</w:t>
      </w:r>
      <w:r>
        <w:rPr>
          <w:rFonts w:ascii="Times New Roman" w:hAnsi="Times New Roman"/>
          <w:color w:val="000000"/>
          <w:sz w:val="24"/>
        </w:rPr>
        <w:t>.</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Procedure</w:t>
      </w:r>
      <w:r>
        <w:rPr>
          <w:rFonts w:ascii="Times New Roman" w:hAnsi="Times New Roman"/>
          <w:color w:val="000000"/>
          <w:sz w:val="24"/>
        </w:rPr>
        <w:t>.</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(i) </w:t>
      </w:r>
      <w:r>
        <w:rPr>
          <w:rFonts w:ascii="Times New Roman" w:hAnsi="Times New Roman"/>
          <w:color w:val="000000"/>
          <w:sz w:val="24"/>
          <w:u w:val="single"/>
        </w:rPr>
        <w:t>Multiple Administrative Bodies</w:t>
      </w:r>
      <w:r>
        <w:rPr>
          <w:rFonts w:ascii="Times New Roman" w:hAnsi="Times New Roman"/>
          <w:color w:val="000000"/>
          <w:sz w:val="24"/>
        </w:rPr>
        <w:t>. Different Committees with respect to different groups of Service Providers may administer the Plan.</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(ii) </w:t>
      </w:r>
      <w:r>
        <w:rPr>
          <w:rFonts w:ascii="Times New Roman" w:hAnsi="Times New Roman"/>
          <w:color w:val="000000"/>
          <w:sz w:val="24"/>
          <w:u w:val="single"/>
        </w:rPr>
        <w:t>Section 162(m)</w:t>
      </w:r>
      <w:r>
        <w:rPr>
          <w:rFonts w:ascii="Times New Roman" w:hAnsi="Times New Roman"/>
          <w:color w:val="000000"/>
          <w:sz w:val="24"/>
        </w:rPr>
        <w:t>. To the extent that the Administrator determines it to be desirable to qualify Awards granted hereunder as “performance-based compensation” within the meaning of Section 162(m) of the Code, the Plan will be administered by a Committee of two (2) or more “outside directors” within the meaning of Section 162(m) of the Code.</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(iii) </w:t>
      </w:r>
      <w:r>
        <w:rPr>
          <w:rFonts w:ascii="Times New Roman" w:hAnsi="Times New Roman"/>
          <w:color w:val="000000"/>
          <w:sz w:val="24"/>
          <w:u w:val="single"/>
        </w:rPr>
        <w:t>Rule 16b-3</w:t>
      </w:r>
      <w:r>
        <w:rPr>
          <w:rFonts w:ascii="Times New Roman" w:hAnsi="Times New Roman"/>
          <w:color w:val="000000"/>
          <w:sz w:val="24"/>
        </w:rPr>
        <w:t>. To the extent desirable to qualify transactions hereunder as exempt under Rule 16b-3, the transactions contemplated hereunder will be structured to satisfy the requirements for exemption under Rule 16b-3.</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(iv) </w:t>
      </w:r>
      <w:r>
        <w:rPr>
          <w:rFonts w:ascii="Times New Roman" w:hAnsi="Times New Roman"/>
          <w:color w:val="000000"/>
          <w:sz w:val="24"/>
          <w:u w:val="single"/>
        </w:rPr>
        <w:t>Other Administration</w:t>
      </w:r>
      <w:r>
        <w:rPr>
          <w:rFonts w:ascii="Times New Roman" w:hAnsi="Times New Roman"/>
          <w:color w:val="000000"/>
          <w:sz w:val="24"/>
        </w:rPr>
        <w:t>. Other than as provided above, the Plan will be administered by (A) the Board or (B) a Committee (in either case, the “Administrator”), which committee will be constituted to satisfy Applicable Laws.</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(b) </w:t>
      </w:r>
      <w:r>
        <w:rPr>
          <w:rFonts w:ascii="Times New Roman" w:hAnsi="Times New Roman"/>
          <w:color w:val="000000"/>
          <w:sz w:val="24"/>
          <w:u w:val="single"/>
        </w:rPr>
        <w:t>Powers of the Administrator</w:t>
      </w:r>
      <w:r>
        <w:rPr>
          <w:rFonts w:ascii="Times New Roman" w:hAnsi="Times New Roman"/>
          <w:color w:val="000000"/>
          <w:sz w:val="24"/>
        </w:rPr>
        <w:t>. Subject to the provisions of the Plan, the Administrator will have the authority, in its discretion: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to determine the Fair Market Value in accordance with Section 2(p)(i-iv) herein;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to select the Service Providers to whom Awards may be granted hereunder;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 to determine the number of Shares to be covered by each Award granted hereunder;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 to approve forms of Award Agreements for use under the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(v) to determine the terms and conditions, not inconsistent with the terms of the Plan, of any Award granted hereunder. Such terms and conditions include, but are not limited to, the exercise price, the time or times when Awards may be exercised (which may </w:t>
      </w:r>
    </w:p>
    <w:p>
      <w:pPr>
        <w:pStyle w:val="TextBody"/>
        <w:bidi w:val="0"/>
        <w:jc w:val="center"/>
        <w:rPr>
          <w:rFonts w:ascii="sans-serif" w:hAnsi="sans-serif"/>
          <w:color w:val="000000"/>
          <w:sz w:val="22"/>
        </w:rPr>
      </w:pPr>
      <w:r>
        <w:rPr>
          <w:rFonts w:ascii="sans-serif" w:hAnsi="sans-serif"/>
          <w:color w:val="000000"/>
          <w:sz w:val="22"/>
        </w:rPr>
        <w:t>7</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be based on performance criteria), any vesting acceleration or waiver of forfeiture restrictions, and any restriction or limitation regarding any Award or the Shares relating thereto, based in each case on such factors as the Administrator will determine;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 to construe and interpret the terms of the Plan and Awards granted pursuant to the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(vii) to prescribe, amend and rescind rules and regulations relating to the Plan, including rules and regulations established for the purpose of satisfying applicable foreign laws, for qualifying for favorable tax treatment under applicable foreign laws or facilitating compliance with foreign laws; sub-plans may be created for any of these purposes;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(viii) to modify or amend each Award (subject to Section 18 of the Plan), including but not limited to the discretionary authority to extend the post-termination exercisability period of Awards and to extend the maximum term of an Option (subject to Section 6(b) of the Plan regarding Incentive Stock Options);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(ix) to allow Participants to satisfy withholding tax obligations in such manner as prescribed in Section 14 of the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(x) to authorize any person to execute on behalf of the Company any instrument required to effect the grant of an Award previously granted by the Administrator;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(xi) to allow a Participant to defer the receipt of the payment of cash or the delivery of Shares that would otherwise be due to such Participant under an Award;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(xii) to make all other determinations deemed necessary or advisable for administering the Plan.</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(c) </w:t>
      </w:r>
      <w:r>
        <w:rPr>
          <w:rFonts w:ascii="Times New Roman" w:hAnsi="Times New Roman"/>
          <w:color w:val="000000"/>
          <w:sz w:val="24"/>
          <w:u w:val="single"/>
        </w:rPr>
        <w:t>Effect of Administrator’s Decision</w:t>
      </w:r>
      <w:r>
        <w:rPr>
          <w:rFonts w:ascii="Times New Roman" w:hAnsi="Times New Roman"/>
          <w:color w:val="000000"/>
          <w:sz w:val="24"/>
        </w:rPr>
        <w:t>. The Administrator’s decisions, determinations and interpretations will be final and binding on all Participants and any other holders of Awards.</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(d) </w:t>
      </w:r>
      <w:r>
        <w:rPr>
          <w:rFonts w:ascii="Times New Roman" w:hAnsi="Times New Roman"/>
          <w:color w:val="000000"/>
          <w:sz w:val="24"/>
          <w:u w:val="single"/>
        </w:rPr>
        <w:t>Exchange Program</w:t>
      </w:r>
      <w:r>
        <w:rPr>
          <w:rFonts w:ascii="Times New Roman" w:hAnsi="Times New Roman"/>
          <w:color w:val="000000"/>
          <w:sz w:val="24"/>
        </w:rPr>
        <w:t>. Notwithstanding anything in this Section 4, the Committee shall not implement an Exchange Program without the approval of the holders of a majority of the Shares that are present in person or by proxy and entitled to vote at any annual or special meeting of Company’s stockholders.</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(e) </w:t>
      </w:r>
      <w:r>
        <w:rPr>
          <w:rFonts w:ascii="Times New Roman" w:hAnsi="Times New Roman"/>
          <w:color w:val="000000"/>
          <w:sz w:val="24"/>
          <w:u w:val="single"/>
        </w:rPr>
        <w:t>Delegation by the Committee</w:t>
      </w:r>
      <w:r>
        <w:rPr>
          <w:rFonts w:ascii="Times New Roman" w:hAnsi="Times New Roman"/>
          <w:color w:val="000000"/>
          <w:sz w:val="24"/>
        </w:rPr>
        <w:t>. The Committee, in its sole discretion and on such terms and conditions as it may provide, may delegate all or any part of its authority and powers under the Plan to one or more Directors or Officers of the Company; provided, however, that the Committee may not delegate its authority and powers (a) with respect to an Officer or (b) in any way which would jeopardize the Plan’s qualification under Code Section 162(m) or Rule 16b-3.</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5. </w:t>
      </w:r>
      <w:r>
        <w:rPr>
          <w:rFonts w:ascii="Times New Roman" w:hAnsi="Times New Roman"/>
          <w:color w:val="000000"/>
          <w:sz w:val="24"/>
          <w:u w:val="single"/>
        </w:rPr>
        <w:t>Award Eligibility and Limitations</w:t>
      </w:r>
      <w:r>
        <w:rPr>
          <w:rFonts w:ascii="Times New Roman" w:hAnsi="Times New Roman"/>
          <w:color w:val="000000"/>
          <w:sz w:val="24"/>
        </w:rPr>
        <w:t xml:space="preserve">. Nonstatutory Stock Options, Stock Appreciation Rights, Restricted Stock, Restricted Stock Units, Performance Shares and </w:t>
      </w:r>
    </w:p>
    <w:p>
      <w:pPr>
        <w:pStyle w:val="TextBody"/>
        <w:bidi w:val="0"/>
        <w:jc w:val="center"/>
        <w:rPr>
          <w:rFonts w:ascii="sans-serif" w:hAnsi="sans-serif"/>
          <w:color w:val="000000"/>
          <w:sz w:val="22"/>
        </w:rPr>
      </w:pPr>
      <w:r>
        <w:rPr>
          <w:rFonts w:ascii="sans-serif" w:hAnsi="sans-serif"/>
          <w:color w:val="000000"/>
          <w:sz w:val="22"/>
        </w:rPr>
        <w:t>8</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Performance Units may be granted to Service Providers. Incentive Stock Options may be granted only to Employees.</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6. </w:t>
      </w:r>
      <w:r>
        <w:rPr>
          <w:rFonts w:ascii="Times New Roman" w:hAnsi="Times New Roman"/>
          <w:color w:val="000000"/>
          <w:sz w:val="24"/>
          <w:u w:val="single"/>
        </w:rPr>
        <w:t>Stock Options</w:t>
      </w:r>
      <w:r>
        <w:rPr>
          <w:rFonts w:ascii="Times New Roman" w:hAnsi="Times New Roman"/>
          <w:color w:val="000000"/>
          <w:sz w:val="24"/>
        </w:rPr>
        <w:t>.</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Limitations</w:t>
      </w:r>
      <w:r>
        <w:rPr>
          <w:rFonts w:ascii="Times New Roman" w:hAnsi="Times New Roman"/>
          <w:color w:val="000000"/>
          <w:sz w:val="24"/>
        </w:rPr>
        <w:t xml:space="preserve">.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and in accordance with Section 2(p)(i-iv). The Fair Market Value of the Shares will be determined as of the day/date the Option with respect to such Shares is granted. With respect to the Committee’s authority in Section 4(b)(viii), if, at the time of any such extension, the exercise price per Share of the Option is less than the Fair Market Value of a Share, the extension shall, unless otherwise determined by the Committee, be limited to the earlier of (1) the maximum term of the Option as set by its original terms, or (2) ten (10) years from the grant date. Unless otherwise determined by the Committee, any extension of the term of an Option pursuant to this Section 4(b)(viii) shall comply with Code Section 409A to the extent necessary to avoid taxation thereunder. </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(b) </w:t>
      </w:r>
      <w:r>
        <w:rPr>
          <w:rFonts w:ascii="Times New Roman" w:hAnsi="Times New Roman"/>
          <w:color w:val="000000"/>
          <w:sz w:val="24"/>
          <w:u w:val="single"/>
        </w:rPr>
        <w:t>Term of Option</w:t>
      </w:r>
      <w:r>
        <w:rPr>
          <w:rFonts w:ascii="Times New Roman" w:hAnsi="Times New Roman"/>
          <w:color w:val="000000"/>
          <w:sz w:val="24"/>
        </w:rPr>
        <w:t>. The term of each Option will be stated in the Award Agreement. In the case of an Incentive Stock Option, the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(c) </w:t>
      </w:r>
      <w:r>
        <w:rPr>
          <w:rFonts w:ascii="Times New Roman" w:hAnsi="Times New Roman"/>
          <w:color w:val="000000"/>
          <w:sz w:val="24"/>
          <w:u w:val="single"/>
        </w:rPr>
        <w:t>Option Exercise Price and Consideration</w:t>
      </w:r>
      <w:r>
        <w:rPr>
          <w:rFonts w:ascii="Times New Roman" w:hAnsi="Times New Roman"/>
          <w:color w:val="000000"/>
          <w:sz w:val="24"/>
        </w:rPr>
        <w:t>.</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(i) </w:t>
      </w:r>
      <w:r>
        <w:rPr>
          <w:rFonts w:ascii="Times New Roman" w:hAnsi="Times New Roman"/>
          <w:color w:val="000000"/>
          <w:sz w:val="24"/>
          <w:u w:val="single"/>
        </w:rPr>
        <w:t>Exercise Price</w:t>
      </w:r>
      <w:r>
        <w:rPr>
          <w:rFonts w:ascii="Times New Roman" w:hAnsi="Times New Roman"/>
          <w:color w:val="000000"/>
          <w:sz w:val="24"/>
        </w:rPr>
        <w:t>. The per share exercise price for the Shares to be issued pursuant to exercise of an Option will be determined by the Administrator, subject to the following: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 In the case of an Incentive Stock Option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granted to any Employee other than an Employee described in paragraph (A) immediately above, the per Share exercise price will be no less than one hundred percent (100%) of the Fair Market Value per Share on the date of grant.</w:t>
      </w:r>
    </w:p>
    <w:p>
      <w:pPr>
        <w:pStyle w:val="TextBody"/>
        <w:bidi w:val="0"/>
        <w:jc w:val="center"/>
        <w:rPr>
          <w:rFonts w:ascii="sans-serif" w:hAnsi="sans-serif"/>
          <w:color w:val="000000"/>
          <w:sz w:val="22"/>
        </w:rPr>
      </w:pPr>
      <w:r>
        <w:rPr>
          <w:rFonts w:ascii="sans-serif" w:hAnsi="sans-serif"/>
          <w:color w:val="000000"/>
          <w:sz w:val="22"/>
        </w:rPr>
        <w:t>9</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 In the case of a Nonstatutory Stock Option, the per Share exercise price will be no less than one hundred percent (100%) of the Fair Market Value per Share on the date of grant.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 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(ii) </w:t>
      </w:r>
      <w:r>
        <w:rPr>
          <w:rFonts w:ascii="Times New Roman" w:hAnsi="Times New Roman"/>
          <w:color w:val="000000"/>
          <w:sz w:val="24"/>
          <w:u w:val="single"/>
        </w:rPr>
        <w:t>Waiting Period and Exercise Dates</w:t>
      </w:r>
      <w:r>
        <w:rPr>
          <w:rFonts w:ascii="Times New Roman" w:hAnsi="Times New Roman"/>
          <w:color w:val="000000"/>
          <w:sz w:val="24"/>
        </w:rPr>
        <w:t>. At the time an Option is granted, the Administrator will fix the period within which the Option may be exercised and will determine any conditions that must be satisfied before the Option may be exercised.</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(iii) </w:t>
      </w:r>
      <w:r>
        <w:rPr>
          <w:rFonts w:ascii="Times New Roman" w:hAnsi="Times New Roman"/>
          <w:color w:val="000000"/>
          <w:sz w:val="24"/>
          <w:u w:val="single"/>
        </w:rPr>
        <w:t>Form of Consideration</w:t>
      </w:r>
      <w:r>
        <w:rPr>
          <w:rFonts w:ascii="Times New Roman" w:hAnsi="Times New Roman"/>
          <w:color w:val="000000"/>
          <w:sz w:val="24"/>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for both types of Options may consist entirely of: (1) cash; (2) check; (3) 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(d) </w:t>
      </w:r>
      <w:r>
        <w:rPr>
          <w:rFonts w:ascii="Times New Roman" w:hAnsi="Times New Roman"/>
          <w:color w:val="000000"/>
          <w:sz w:val="24"/>
          <w:u w:val="single"/>
        </w:rPr>
        <w:t>Exercise of Option</w:t>
      </w:r>
      <w:r>
        <w:rPr>
          <w:rFonts w:ascii="Times New Roman" w:hAnsi="Times New Roman"/>
          <w:color w:val="000000"/>
          <w:sz w:val="24"/>
        </w:rPr>
        <w:t>.</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(i) </w:t>
      </w:r>
      <w:r>
        <w:rPr>
          <w:rFonts w:ascii="Times New Roman" w:hAnsi="Times New Roman"/>
          <w:color w:val="000000"/>
          <w:sz w:val="24"/>
          <w:u w:val="single"/>
        </w:rPr>
        <w:t>Procedure for Exercise; Rights as a Stockholder</w:t>
      </w:r>
      <w:r>
        <w:rPr>
          <w:rFonts w:ascii="Times New Roman" w:hAnsi="Times New Roman"/>
          <w:color w:val="000000"/>
          <w:sz w:val="24"/>
        </w:rPr>
        <w:t xml:space="preserve">. Any Option granted hereunder will be exercisable according to the terms of the Plan and at such times and under such conditions as determined by the Administrator and set forth in the Award Agreement. An Option may not be exercised for a fraction of a Share. An Option will be deemed exercised when the Company receives: (i) a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w:t>
      </w:r>
    </w:p>
    <w:p>
      <w:pPr>
        <w:pStyle w:val="TextBody"/>
        <w:bidi w:val="0"/>
        <w:jc w:val="center"/>
        <w:rPr>
          <w:rFonts w:ascii="sans-serif" w:hAnsi="sans-serif"/>
          <w:color w:val="000000"/>
          <w:sz w:val="22"/>
        </w:rPr>
      </w:pPr>
      <w:r>
        <w:rPr>
          <w:rFonts w:ascii="sans-serif" w:hAnsi="sans-serif"/>
          <w:color w:val="000000"/>
          <w:sz w:val="22"/>
        </w:rPr>
        <w:t>10</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record date is prior to the date the Shares are issued, except as provided in Section 13 of the Plan.</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(ii) </w:t>
      </w:r>
      <w:r>
        <w:rPr>
          <w:rFonts w:ascii="Times New Roman" w:hAnsi="Times New Roman"/>
          <w:color w:val="000000"/>
          <w:sz w:val="24"/>
          <w:u w:val="single"/>
        </w:rPr>
        <w:t>Termination of Relationship as a Service Provider</w:t>
      </w:r>
      <w:r>
        <w:rPr>
          <w:rFonts w:ascii="Times New Roman" w:hAnsi="Times New Roman"/>
          <w:color w:val="000000"/>
          <w:sz w:val="24"/>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subject to the provisions of Section 13.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 Notwithstanding the foregoing, with respect to Options granted to an Outside Director, subject to the provisions of Section 13 and unless provided otherwise in the Award Agreement for the Option, the Option granted to an Outside Director shall, following termination of the Outside Director’s status as a Service Provider (whether as a result of resignation, removal, death, Disability or otherwise), remain exercisable for the full initial term of the Option specified in the Award Agreement (but in no event more than ten (10) years from the date of grant of the Option).</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(iii) </w:t>
      </w:r>
      <w:r>
        <w:rPr>
          <w:rFonts w:ascii="Times New Roman" w:hAnsi="Times New Roman"/>
          <w:color w:val="000000"/>
          <w:sz w:val="24"/>
          <w:u w:val="single"/>
        </w:rPr>
        <w:t>Disability of Participant</w:t>
      </w:r>
      <w:r>
        <w:rPr>
          <w:rFonts w:ascii="Times New Roman" w:hAnsi="Times New Roman"/>
          <w:color w:val="000000"/>
          <w:sz w:val="24"/>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(iv) </w:t>
      </w:r>
      <w:r>
        <w:rPr>
          <w:rFonts w:ascii="Times New Roman" w:hAnsi="Times New Roman"/>
          <w:color w:val="000000"/>
          <w:sz w:val="24"/>
          <w:u w:val="single"/>
        </w:rPr>
        <w:t>Death of Participant</w:t>
      </w:r>
      <w:r>
        <w:rPr>
          <w:rFonts w:ascii="Times New Roman" w:hAnsi="Times New Roman"/>
          <w:color w:val="000000"/>
          <w:sz w:val="24"/>
        </w:rPr>
        <w:t xml:space="preserve">.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w:t>
      </w:r>
    </w:p>
    <w:p>
      <w:pPr>
        <w:pStyle w:val="TextBody"/>
        <w:bidi w:val="0"/>
        <w:jc w:val="center"/>
        <w:rPr>
          <w:rFonts w:ascii="sans-serif" w:hAnsi="sans-serif"/>
          <w:color w:val="000000"/>
          <w:sz w:val="22"/>
        </w:rPr>
      </w:pPr>
      <w:r>
        <w:rPr>
          <w:rFonts w:ascii="sans-serif" w:hAnsi="sans-serif"/>
          <w:color w:val="000000"/>
          <w:sz w:val="22"/>
        </w:rPr>
        <w:t>11</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7. </w:t>
      </w:r>
      <w:r>
        <w:rPr>
          <w:rFonts w:ascii="Times New Roman" w:hAnsi="Times New Roman"/>
          <w:color w:val="000000"/>
          <w:sz w:val="24"/>
          <w:u w:val="single"/>
        </w:rPr>
        <w:t>Restricted Stock</w:t>
      </w:r>
      <w:r>
        <w:rPr>
          <w:rFonts w:ascii="Times New Roman" w:hAnsi="Times New Roman"/>
          <w:color w:val="000000"/>
          <w:sz w:val="24"/>
        </w:rPr>
        <w:t>.</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Grant of Restricted Stock</w:t>
      </w:r>
      <w:r>
        <w:rPr>
          <w:rFonts w:ascii="Times New Roman" w:hAnsi="Times New Roman"/>
          <w:color w:val="000000"/>
          <w:sz w:val="24"/>
        </w:rPr>
        <w:t>. Subject to the terms and provisions of the Plan, the Administrator, at any time and from time to time, may grant Shares of Restricted Stock to Service Providers in such amounts as the Administrator, in its sole discretion, will determine.</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(b) </w:t>
      </w:r>
      <w:r>
        <w:rPr>
          <w:rFonts w:ascii="Times New Roman" w:hAnsi="Times New Roman"/>
          <w:color w:val="000000"/>
          <w:sz w:val="24"/>
          <w:u w:val="single"/>
        </w:rPr>
        <w:t>Restricted Stock Agreement</w:t>
      </w:r>
      <w:r>
        <w:rPr>
          <w:rFonts w:ascii="Times New Roman" w:hAnsi="Times New Roman"/>
          <w:color w:val="000000"/>
          <w:sz w:val="24"/>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(c) </w:t>
      </w:r>
      <w:r>
        <w:rPr>
          <w:rFonts w:ascii="Times New Roman" w:hAnsi="Times New Roman"/>
          <w:color w:val="000000"/>
          <w:sz w:val="24"/>
          <w:u w:val="single"/>
        </w:rPr>
        <w:t>Transferability</w:t>
      </w:r>
      <w:r>
        <w:rPr>
          <w:rFonts w:ascii="Times New Roman" w:hAnsi="Times New Roman"/>
          <w:color w:val="000000"/>
          <w:sz w:val="24"/>
        </w:rPr>
        <w:t>. Except as provided in this Section 7 or the Award Agreement, Shares of Restricted Stock may not be sold, transferred, pledged, assigned, or otherwise alienated or hypothecated until the end of the applicable Period of Restriction.</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(d) </w:t>
      </w:r>
      <w:r>
        <w:rPr>
          <w:rFonts w:ascii="Times New Roman" w:hAnsi="Times New Roman"/>
          <w:color w:val="000000"/>
          <w:sz w:val="24"/>
          <w:u w:val="single"/>
        </w:rPr>
        <w:t>Other Restrictions</w:t>
      </w:r>
      <w:r>
        <w:rPr>
          <w:rFonts w:ascii="Times New Roman" w:hAnsi="Times New Roman"/>
          <w:color w:val="000000"/>
          <w:sz w:val="24"/>
        </w:rPr>
        <w:t>. The Administrator, in its sole discretion, may impose such other restrictions on Shares of Restricted Stock as it may deem advisable or appropriate.</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(e) </w:t>
      </w:r>
      <w:r>
        <w:rPr>
          <w:rFonts w:ascii="Times New Roman" w:hAnsi="Times New Roman"/>
          <w:color w:val="000000"/>
          <w:sz w:val="24"/>
          <w:u w:val="single"/>
        </w:rPr>
        <w:t>Removal of Restrictions</w:t>
      </w:r>
      <w:r>
        <w:rPr>
          <w:rFonts w:ascii="Times New Roman" w:hAnsi="Times New Roman"/>
          <w:color w:val="000000"/>
          <w:sz w:val="24"/>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(f) </w:t>
      </w:r>
      <w:r>
        <w:rPr>
          <w:rFonts w:ascii="Times New Roman" w:hAnsi="Times New Roman"/>
          <w:color w:val="000000"/>
          <w:sz w:val="24"/>
          <w:u w:val="single"/>
        </w:rPr>
        <w:t>Voting Rights</w:t>
      </w:r>
      <w:r>
        <w:rPr>
          <w:rFonts w:ascii="Times New Roman" w:hAnsi="Times New Roman"/>
          <w:color w:val="000000"/>
          <w:sz w:val="24"/>
        </w:rPr>
        <w:t>. During the Period of Restriction, Service Providers holding Shares of Restricted Stock granted hereunder may exercise full voting rights with respect to those Shares, unless the Administrator determines otherwise.</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(g) </w:t>
      </w:r>
      <w:r>
        <w:rPr>
          <w:rFonts w:ascii="Times New Roman" w:hAnsi="Times New Roman"/>
          <w:color w:val="000000"/>
          <w:sz w:val="24"/>
          <w:u w:val="single"/>
        </w:rPr>
        <w:t>Dividends and Other Distributions</w:t>
      </w:r>
      <w:r>
        <w:rPr>
          <w:rFonts w:ascii="Times New Roman" w:hAnsi="Times New Roman"/>
          <w:color w:val="000000"/>
          <w:sz w:val="24"/>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(h) </w:t>
      </w:r>
      <w:r>
        <w:rPr>
          <w:rFonts w:ascii="Times New Roman" w:hAnsi="Times New Roman"/>
          <w:color w:val="000000"/>
          <w:sz w:val="24"/>
          <w:u w:val="single"/>
        </w:rPr>
        <w:t>Return of Restricted Stock to Company</w:t>
      </w:r>
      <w:r>
        <w:rPr>
          <w:rFonts w:ascii="Times New Roman" w:hAnsi="Times New Roman"/>
          <w:color w:val="000000"/>
          <w:sz w:val="24"/>
        </w:rPr>
        <w:t>. On the date set forth in the Award Agreement, the Restricted Stock for which restrictions have not lapsed will be cancelled and returned as unissued Shares to the Company and again will become available for grant under the Plan.</w:t>
      </w:r>
    </w:p>
    <w:p>
      <w:pPr>
        <w:pStyle w:val="TextBody"/>
        <w:bidi w:val="0"/>
        <w:jc w:val="center"/>
        <w:rPr>
          <w:rFonts w:ascii="sans-serif" w:hAnsi="sans-serif"/>
          <w:color w:val="000000"/>
          <w:sz w:val="22"/>
        </w:rPr>
      </w:pPr>
      <w:r>
        <w:rPr>
          <w:rFonts w:ascii="sans-serif" w:hAnsi="sans-serif"/>
          <w:color w:val="000000"/>
          <w:sz w:val="22"/>
        </w:rPr>
        <w:t>12</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8. </w:t>
      </w:r>
      <w:r>
        <w:rPr>
          <w:rFonts w:ascii="Times New Roman" w:hAnsi="Times New Roman"/>
          <w:color w:val="000000"/>
          <w:sz w:val="24"/>
          <w:u w:val="single"/>
        </w:rPr>
        <w:t>Restricted Stock Units</w:t>
      </w:r>
      <w:r>
        <w:rPr>
          <w:rFonts w:ascii="Times New Roman" w:hAnsi="Times New Roman"/>
          <w:color w:val="000000"/>
          <w:sz w:val="24"/>
        </w:rPr>
        <w:t>.</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Grant</w:t>
      </w:r>
      <w:r>
        <w:rPr>
          <w:rFonts w:ascii="Times New Roman" w:hAnsi="Times New Roman"/>
          <w:color w:val="000000"/>
          <w:sz w:val="24"/>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(if any) related to the grant, including the number of Restricted Stock Units into which the dollar value of the grant has been converted.</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(b) </w:t>
      </w:r>
      <w:r>
        <w:rPr>
          <w:rFonts w:ascii="Times New Roman" w:hAnsi="Times New Roman"/>
          <w:color w:val="000000"/>
          <w:sz w:val="24"/>
          <w:u w:val="single"/>
        </w:rPr>
        <w:t>Vesting Criteria and Other Terms</w:t>
      </w:r>
      <w:r>
        <w:rPr>
          <w:rFonts w:ascii="Times New Roman" w:hAnsi="Times New Roman"/>
          <w:color w:val="000000"/>
          <w:sz w:val="24"/>
        </w:rPr>
        <w:t>. The Administrator will set vesting criteria in its discretion. If all of the criteria are met the number of Restricted Stock Units that are vested will convert into fully paid, non-assessible Shares, on a one-for-one basis, and be released to the Participant. The Administrator may set vesting criteria based upon the achievement of Company- wide, business unit, or individual goals (including, but not limited to, continued employment), or any other basis (including the passage of time) determined by the Administrator in its discretion.</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(c) </w:t>
      </w:r>
      <w:r>
        <w:rPr>
          <w:rFonts w:ascii="Times New Roman" w:hAnsi="Times New Roman"/>
          <w:color w:val="000000"/>
          <w:sz w:val="24"/>
          <w:u w:val="single"/>
        </w:rPr>
        <w:t>Earning Restricted Stock Units</w:t>
      </w:r>
      <w:r>
        <w:rPr>
          <w:rFonts w:ascii="Times New Roman" w:hAnsi="Times New Roman"/>
          <w:color w:val="000000"/>
          <w:sz w:val="24"/>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 Each Restricted Stock Unit is equal to one Share, or the cash equivalent of one Share as determined by the Fair Market Value on the date of payment therefor.</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(d) </w:t>
      </w:r>
      <w:r>
        <w:rPr>
          <w:rFonts w:ascii="Times New Roman" w:hAnsi="Times New Roman"/>
          <w:color w:val="000000"/>
          <w:sz w:val="24"/>
          <w:u w:val="single"/>
        </w:rPr>
        <w:t>Dividend Equivalents</w:t>
      </w:r>
      <w:r>
        <w:rPr>
          <w:rFonts w:ascii="Times New Roman" w:hAnsi="Times New Roman"/>
          <w:color w:val="000000"/>
          <w:sz w:val="24"/>
        </w:rPr>
        <w:t>. The Administrator may, in its sole discretion, award dividend equivalents in connection with the grant of Restricted Stock Units that may be settled in cash, in Shares of equivalent value, or in some combination thereof.</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(e) </w:t>
      </w:r>
      <w:r>
        <w:rPr>
          <w:rFonts w:ascii="Times New Roman" w:hAnsi="Times New Roman"/>
          <w:color w:val="000000"/>
          <w:sz w:val="24"/>
          <w:u w:val="single"/>
        </w:rPr>
        <w:t>Form and Timing of Payment</w:t>
      </w:r>
      <w:r>
        <w:rPr>
          <w:rFonts w:ascii="Times New Roman" w:hAnsi="Times New Roman"/>
          <w:color w:val="000000"/>
          <w:sz w:val="24"/>
        </w:rPr>
        <w:t>. Payment of earned Restricted Stock Units will be made upon the date(s) determined by the Administrator and set forth in the Award Agreement. The Administrator, in its sole discretion, may only settle earned Restricted Stock Units in cash, Shares, or a combination of both.</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(f) </w:t>
      </w:r>
      <w:r>
        <w:rPr>
          <w:rFonts w:ascii="Times New Roman" w:hAnsi="Times New Roman"/>
          <w:color w:val="000000"/>
          <w:sz w:val="24"/>
          <w:u w:val="single"/>
        </w:rPr>
        <w:t>Cancellation</w:t>
      </w:r>
      <w:r>
        <w:rPr>
          <w:rFonts w:ascii="Times New Roman" w:hAnsi="Times New Roman"/>
          <w:color w:val="000000"/>
          <w:sz w:val="24"/>
        </w:rPr>
        <w:t>. On the date set forth in the Award Agreement, all Shares underlying any unvested, unlapsed unearned Restricted Stock Units will be forfeited to the Company for future issuance.</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9. </w:t>
      </w:r>
      <w:r>
        <w:rPr>
          <w:rFonts w:ascii="Times New Roman" w:hAnsi="Times New Roman"/>
          <w:color w:val="000000"/>
          <w:sz w:val="24"/>
          <w:u w:val="single"/>
        </w:rPr>
        <w:t>Stock Appreciation Rights</w:t>
      </w:r>
      <w:r>
        <w:rPr>
          <w:rFonts w:ascii="Times New Roman" w:hAnsi="Times New Roman"/>
          <w:color w:val="000000"/>
          <w:sz w:val="24"/>
        </w:rPr>
        <w:t>.</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Grant of Stock Appreciation Rights</w:t>
      </w:r>
      <w:r>
        <w:rPr>
          <w:rFonts w:ascii="Times New Roman" w:hAnsi="Times New Roman"/>
          <w:color w:val="000000"/>
          <w:sz w:val="24"/>
        </w:rPr>
        <w:t>. Subject to the terms and conditions of the Plan, a Stock Appreciation Right may be granted to Service Providers at any time and from time to time as will be determined by the Administrator, in its sole discretion.</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(b) </w:t>
      </w:r>
      <w:r>
        <w:rPr>
          <w:rFonts w:ascii="Times New Roman" w:hAnsi="Times New Roman"/>
          <w:color w:val="000000"/>
          <w:sz w:val="24"/>
          <w:u w:val="single"/>
        </w:rPr>
        <w:t>Number of Shares</w:t>
      </w:r>
      <w:r>
        <w:rPr>
          <w:rFonts w:ascii="Times New Roman" w:hAnsi="Times New Roman"/>
          <w:color w:val="000000"/>
          <w:sz w:val="24"/>
        </w:rPr>
        <w:t>. The Administrator will have complete discretion to determine the number of Stock Appreciation Rights granted to any Service Provider.</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(c) </w:t>
      </w:r>
      <w:r>
        <w:rPr>
          <w:rFonts w:ascii="Times New Roman" w:hAnsi="Times New Roman"/>
          <w:color w:val="000000"/>
          <w:sz w:val="24"/>
          <w:u w:val="single"/>
        </w:rPr>
        <w:t>Exercise Price and Other Terms</w:t>
      </w:r>
      <w:r>
        <w:rPr>
          <w:rFonts w:ascii="Times New Roman" w:hAnsi="Times New Roman"/>
          <w:color w:val="000000"/>
          <w:sz w:val="24"/>
        </w:rPr>
        <w:t xml:space="preserve">. The per share exercise price for the Shares to be issued pursuant to exercise of a Stock Appreciation Right will be determined by the Administrator and will be no less than one hundred percent (100%) of the Fair Market Value per </w:t>
      </w:r>
    </w:p>
    <w:p>
      <w:pPr>
        <w:pStyle w:val="TextBody"/>
        <w:bidi w:val="0"/>
        <w:jc w:val="center"/>
        <w:rPr>
          <w:rFonts w:ascii="sans-serif" w:hAnsi="sans-serif"/>
          <w:color w:val="000000"/>
          <w:sz w:val="22"/>
        </w:rPr>
      </w:pPr>
      <w:r>
        <w:rPr>
          <w:rFonts w:ascii="sans-serif" w:hAnsi="sans-serif"/>
          <w:color w:val="000000"/>
          <w:sz w:val="22"/>
        </w:rPr>
        <w:t>13</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Share on the date of grant. Otherwise, the Administrator, subject to the provisions of the Plan, will have complete discretion to determine the terms and conditions of Stock Appreciation Rights granted under the Plan.</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(d) </w:t>
      </w:r>
      <w:r>
        <w:rPr>
          <w:rFonts w:ascii="Times New Roman" w:hAnsi="Times New Roman"/>
          <w:color w:val="000000"/>
          <w:sz w:val="24"/>
          <w:u w:val="single"/>
        </w:rPr>
        <w:t>Stock Appreciation Right Agreement</w:t>
      </w:r>
      <w:r>
        <w:rPr>
          <w:rFonts w:ascii="Times New Roman" w:hAnsi="Times New Roman"/>
          <w:color w:val="000000"/>
          <w:sz w:val="24"/>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(e) </w:t>
      </w:r>
      <w:r>
        <w:rPr>
          <w:rFonts w:ascii="Times New Roman" w:hAnsi="Times New Roman"/>
          <w:color w:val="000000"/>
          <w:sz w:val="24"/>
          <w:u w:val="single"/>
        </w:rPr>
        <w:t>Expiration of Stock Appreciation Rights</w:t>
      </w:r>
      <w:r>
        <w:rPr>
          <w:rFonts w:ascii="Times New Roman" w:hAnsi="Times New Roman"/>
          <w:color w:val="000000"/>
          <w:sz w:val="24"/>
        </w:rPr>
        <w:t>. A Stock Appreciation Right granted under the Plan will expire upon the date determined by the Administrator, in its sole discretion, and set forth in the Award Agreement. Notwithstanding the foregoing, the rules of Section 6(b) relating to the maximum term and Section 6(d) relating to exercise also will apply to Stock Appreciation Rights.</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(f) </w:t>
      </w:r>
      <w:r>
        <w:rPr>
          <w:rFonts w:ascii="Times New Roman" w:hAnsi="Times New Roman"/>
          <w:color w:val="000000"/>
          <w:sz w:val="24"/>
          <w:u w:val="single"/>
        </w:rPr>
        <w:t>Payment of Stock Appreciation Right Amount</w:t>
      </w:r>
      <w:r>
        <w:rPr>
          <w:rFonts w:ascii="Times New Roman" w:hAnsi="Times New Roman"/>
          <w:color w:val="000000"/>
          <w:sz w:val="24"/>
        </w:rPr>
        <w:t>. Upon exercise of a Stock Appreciation Right, a Participant will be entitled to receive payment from the Company in an amount determined by multiplying: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The difference between the Fair Market Value of a Share on the date of exercise over the exercise price; times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The number of Shares with respect to which the Stock Appreciation Right is exercised.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At the discretion of the Administrator, the payment upon Stock Appreciation Right exercise may be in cash, in Shares of equivalent value, or in some combination thereof.</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10. </w:t>
      </w:r>
      <w:r>
        <w:rPr>
          <w:rFonts w:ascii="Times New Roman" w:hAnsi="Times New Roman"/>
          <w:color w:val="000000"/>
          <w:sz w:val="24"/>
          <w:u w:val="single"/>
        </w:rPr>
        <w:t>Performance Units and Performance Shares</w:t>
      </w:r>
      <w:r>
        <w:rPr>
          <w:rFonts w:ascii="Times New Roman" w:hAnsi="Times New Roman"/>
          <w:color w:val="000000"/>
          <w:sz w:val="24"/>
        </w:rPr>
        <w:t>.</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Grant of Performance Units/Shares</w:t>
      </w:r>
      <w:r>
        <w:rPr>
          <w:rFonts w:ascii="Times New Roman" w:hAnsi="Times New Roman"/>
          <w:color w:val="000000"/>
          <w:sz w:val="24"/>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(b) </w:t>
      </w:r>
      <w:r>
        <w:rPr>
          <w:rFonts w:ascii="Times New Roman" w:hAnsi="Times New Roman"/>
          <w:color w:val="000000"/>
          <w:sz w:val="24"/>
          <w:u w:val="single"/>
        </w:rPr>
        <w:t>Value of Performance Units/Shares</w:t>
      </w:r>
      <w:r>
        <w:rPr>
          <w:rFonts w:ascii="Times New Roman" w:hAnsi="Times New Roman"/>
          <w:color w:val="000000"/>
          <w:sz w:val="24"/>
        </w:rPr>
        <w:t>. Each Performance Unit will have an initial value that is established by the Administrator on or before the date of grant. Each Performance Share will have an initial value equal to the Fair Market Value of a Share on the date of grant.</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(c) </w:t>
      </w:r>
      <w:r>
        <w:rPr>
          <w:rFonts w:ascii="Times New Roman" w:hAnsi="Times New Roman"/>
          <w:color w:val="000000"/>
          <w:sz w:val="24"/>
          <w:u w:val="single"/>
        </w:rPr>
        <w:t>Performance Objectives and Other Terms</w:t>
      </w:r>
      <w:r>
        <w:rPr>
          <w:rFonts w:ascii="Times New Roman" w:hAnsi="Times New Roman"/>
          <w:color w:val="000000"/>
          <w:sz w:val="24"/>
        </w:rPr>
        <w:t xml:space="preserve">. The Administrator will set Performance Goals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w:t>
      </w:r>
    </w:p>
    <w:p>
      <w:pPr>
        <w:pStyle w:val="TextBody"/>
        <w:bidi w:val="0"/>
        <w:jc w:val="center"/>
        <w:rPr>
          <w:rFonts w:ascii="sans-serif" w:hAnsi="sans-serif"/>
          <w:color w:val="000000"/>
          <w:sz w:val="22"/>
        </w:rPr>
      </w:pPr>
      <w:r>
        <w:rPr>
          <w:rFonts w:ascii="sans-serif" w:hAnsi="sans-serif"/>
          <w:color w:val="000000"/>
          <w:sz w:val="22"/>
        </w:rPr>
        <w:t>14</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other terms and conditions as the Administrator, in its sole discretion, will determine. The Administrator may set performance objectives based upon the achievement of Company-wide, divisional, or individual goals, applicable federal or state securities laws, or any other basis determined by the Administrator in its discretion.</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(d) </w:t>
      </w:r>
      <w:r>
        <w:rPr>
          <w:rFonts w:ascii="Times New Roman" w:hAnsi="Times New Roman"/>
          <w:color w:val="000000"/>
          <w:sz w:val="24"/>
          <w:u w:val="single"/>
        </w:rPr>
        <w:t>Measurement of Performance Goals</w:t>
      </w:r>
      <w:r>
        <w:rPr>
          <w:rFonts w:ascii="Times New Roman" w:hAnsi="Times New Roman"/>
          <w:color w:val="000000"/>
          <w:sz w:val="24"/>
        </w:rPr>
        <w:t>. Performance Goals shall be established by the Committee on the basis of targets to be attained (“Performance Targets”) with respect to one or more measures of business or financial performance (each, a “Performance Measure”), subject to the following:</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(i) </w:t>
      </w:r>
      <w:r>
        <w:rPr>
          <w:rFonts w:ascii="Times New Roman" w:hAnsi="Times New Roman"/>
          <w:color w:val="000000"/>
          <w:sz w:val="24"/>
          <w:u w:val="single"/>
        </w:rPr>
        <w:t>Performance Measures</w:t>
      </w:r>
      <w:r>
        <w:rPr>
          <w:rFonts w:ascii="Times New Roman" w:hAnsi="Times New Roman"/>
          <w:color w:val="000000"/>
          <w:sz w:val="24"/>
        </w:rPr>
        <w:t xml:space="preserve">. For each Performance Period, the Committee shall establish and set forth in writing the Performance Measures, if any, and any particulars, components and adjustments relating thereto, applicable to each Participant. The Performance Measures, if any, will be objectively measurable and will be based upon the achievement of a specified percentage or level in one or more objectively defined and non-discretionary factors preestablished by the Committee. Performance Measures may be one or more of the following, as determined by the Committee: (1) sales or non-sales revenue; (2) return on revenues; (3) operating income; (4) income or earnings including operating income; (5) income or earnings before or after taxes, interest, depreciation and/or amortization; (6) income or earnings from continuing operations; (7) net income; (8) pre-tax income or after-tax income; (9) net income excluding amortization of intangible assets, depreciation and impairment of goodwill and intangible assets and/or excluding charges attributable to the adoption of new accounting pronouncements; (10) raising of financing or fundraising; (11) project financing; (12) revenue backlog; (13) gross margin; (14) operating margin or profit margin; (15) capital expenditures, cost targets, reductions and savings and expense management; (16) return on assets (gross or net), return on investment, return on capital, or return on stockholder equity; (17) cash flow, free cash flow, cash flow return on investment (discounted or otherwise), net cash provided by operations, or cash flow in excess of cost of capital; (18) performance warranty and/or guarantee claims; (19) stock price or total stockholder return; (20) earnings or book value per share (basic or diluted); (21) economic value created; (22) pre-tax profit or after-tax profit; (23) strategic business criteria, consisting of one or more objectives based on meeting specified market penetration or market share, completion of strategic agreements such as licenses, funded collaborations, joint ventures, acquisitions, and the like, geographic business expansion, objective customer satisfaction or information technology goals, intellectual property asset metrics; (24) objective goals relating to divestitures, joint ventures, mergers, acquisitions and similar transactions; (25) objective goals relating to staff management, results from staff attitude and/or opinion surveys, staff satisfaction scores, staff safety, staff accident and/or injury rates, compliance, headcount, performance management, completion of critical staff training initiatives; (26) objective goals relating to projects, including project completion, timing and/or achievement of milestones, project budget, technical progress against work plans; (27) key regulatory objectives or milestones; and (28) enterprise resource planning. Awards issued to Participants who are not subject to the limitations of Code Section 162(m) or Awards to Participants that are not intended to comply with the requirements of Code Section 162(m) may, in either case, take into account other factors (including subjective factors). Performance Goals may differ from Participant to Participant, Performance Period to Performance Period and from Award to Award. Any criteria used may be measured, as applicable, (1) in absolute terms, (2) in relative terms (including, but not limited to, any increase (or decrease) over the passage of time </w:t>
      </w:r>
    </w:p>
    <w:p>
      <w:pPr>
        <w:pStyle w:val="TextBody"/>
        <w:bidi w:val="0"/>
        <w:jc w:val="center"/>
        <w:rPr>
          <w:rFonts w:ascii="sans-serif" w:hAnsi="sans-serif"/>
          <w:color w:val="000000"/>
          <w:sz w:val="22"/>
        </w:rPr>
      </w:pPr>
      <w:r>
        <w:rPr>
          <w:rFonts w:ascii="sans-serif" w:hAnsi="sans-serif"/>
          <w:color w:val="000000"/>
          <w:sz w:val="22"/>
        </w:rPr>
        <w:t>15</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and/or any measurement against other companies or financial or business or stock index metrics particular to the Company), (3) on a per share and/or share per capita basis, (4) against the performance of the Company as a whole or against any affiliate(s), or a particular segment(s), a business unit(s) or a product(s) of the Company or individual project company, (5) on a pre-tax or after-tax basis, and/or (6) using an actual foreign exchange rate or on a foreign exchange neutral basis.</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(ii) </w:t>
      </w:r>
      <w:r>
        <w:rPr>
          <w:rFonts w:ascii="Times New Roman" w:hAnsi="Times New Roman"/>
          <w:color w:val="000000"/>
          <w:sz w:val="24"/>
          <w:u w:val="single"/>
        </w:rPr>
        <w:t>Committee Discretion on Performance Measures</w:t>
      </w:r>
      <w:r>
        <w:rPr>
          <w:rFonts w:ascii="Times New Roman" w:hAnsi="Times New Roman"/>
          <w:color w:val="000000"/>
          <w:sz w:val="24"/>
        </w:rPr>
        <w:t>. As determined in the discretion of the Committee, the Performance Measures for any Performance Period may (a) differ from Participant to Participant and from Award to Award, (b) be based on the performance of the Company as a whole or the performance of a specific Participant or one or more subsidiaries, divisions, departments, regions, stores, segments, products, functions or business units of the Company or individual project company, (c) be measured on a per share, per capita, per unit, per square foot, per employee, per store basis, and/or other objective basis (d) be measured on a pre-tax or after-tax basis, and (e) be measured on an absolute basis or in relative terms (including, but not limited to, the passage of time and/or against other companies, financial metrics and/or an index). Without limiting the foregoing, the Committee shall adjust any performance criteria, Performance Measures or other feature of an Award that relates to or is wholly or partially based on the number of, or the value of, any stock of the Company, to reflect any stock dividend or split, repurchase, recapitalization, combination, or exchange of shares or other similar changes in such stock. Awards that are not intended by the Company to comply with the performance-based compensation exception under Code Section 162(m) may take into account other factors (including subjective factors).</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(e) </w:t>
      </w:r>
      <w:r>
        <w:rPr>
          <w:rFonts w:ascii="Times New Roman" w:hAnsi="Times New Roman"/>
          <w:color w:val="000000"/>
          <w:sz w:val="24"/>
          <w:u w:val="single"/>
        </w:rPr>
        <w:t>Earning of Performance Units/Shares</w:t>
      </w:r>
      <w:r>
        <w:rPr>
          <w:rFonts w:ascii="Times New Roman" w:hAnsi="Times New Roman"/>
          <w:color w:val="000000"/>
          <w:sz w:val="24"/>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Goals or other vesting provisions have been achieved. After the grant of a Performance Unit/Share, the Administrator, in its sole discretion, may reduce or waive any Performance Goals or other vesting provisions for such Performance Unit/Share.</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(f) </w:t>
      </w:r>
      <w:r>
        <w:rPr>
          <w:rFonts w:ascii="Times New Roman" w:hAnsi="Times New Roman"/>
          <w:color w:val="000000"/>
          <w:sz w:val="24"/>
          <w:u w:val="single"/>
        </w:rPr>
        <w:t>Form and Timing of Payment of Performance Units/Shares</w:t>
      </w:r>
      <w:r>
        <w:rPr>
          <w:rFonts w:ascii="Times New Roman" w:hAnsi="Times New Roman"/>
          <w:color w:val="000000"/>
          <w:sz w:val="24"/>
        </w:rPr>
        <w:t>. Payment of earned Performance Units/Shares will be made upon the time set forth in the applicable Award Agreement.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(g) </w:t>
      </w:r>
      <w:r>
        <w:rPr>
          <w:rFonts w:ascii="Times New Roman" w:hAnsi="Times New Roman"/>
          <w:color w:val="000000"/>
          <w:sz w:val="24"/>
          <w:u w:val="single"/>
        </w:rPr>
        <w:t>Cancellation of Performance Units/Shares</w:t>
      </w:r>
      <w:r>
        <w:rPr>
          <w:rFonts w:ascii="Times New Roman" w:hAnsi="Times New Roman"/>
          <w:color w:val="000000"/>
          <w:sz w:val="24"/>
        </w:rPr>
        <w:t>. On the date set forth in the Award Agreement, all unearned or unvested Performance Units/Shares will be forfeited to the Company, and again will be available for grant under the Plan.</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11. </w:t>
      </w:r>
      <w:r>
        <w:rPr>
          <w:rFonts w:ascii="Times New Roman" w:hAnsi="Times New Roman"/>
          <w:color w:val="000000"/>
          <w:sz w:val="24"/>
          <w:u w:val="single"/>
        </w:rPr>
        <w:t>Leaves of Absence/Transfer Between Locations</w:t>
      </w:r>
      <w:r>
        <w:rPr>
          <w:rFonts w:ascii="Times New Roman" w:hAnsi="Times New Roman"/>
          <w:color w:val="000000"/>
          <w:sz w:val="24"/>
        </w:rPr>
        <w:t xml:space="preserve">. Unless the Administrator provides otherwise, vesting of Awards granted hereunder will be suspended during any unpaid leave of absence unless contrary to Applicable Law. A Participant will not cease to be an Employee in the case of (i) any leave of absence approved by the Participant’s employer or (ii) </w:t>
      </w:r>
    </w:p>
    <w:p>
      <w:pPr>
        <w:pStyle w:val="TextBody"/>
        <w:bidi w:val="0"/>
        <w:jc w:val="center"/>
        <w:rPr>
          <w:rFonts w:ascii="sans-serif" w:hAnsi="sans-serif"/>
          <w:color w:val="000000"/>
          <w:sz w:val="22"/>
        </w:rPr>
      </w:pPr>
      <w:r>
        <w:rPr>
          <w:rFonts w:ascii="sans-serif" w:hAnsi="sans-serif"/>
          <w:color w:val="000000"/>
          <w:sz w:val="22"/>
        </w:rPr>
        <w:t>16</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Participant’s employer is not so guaranteed, then six (6) months following the first (1st ) day of such leave any Incentive Stock Option held by the Participant will cease to be treated as an Incentive Stock Option and will be treated for tax purposes as a Nonstatutory Stock Option.</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12. </w:t>
      </w:r>
      <w:r>
        <w:rPr>
          <w:rFonts w:ascii="Times New Roman" w:hAnsi="Times New Roman"/>
          <w:color w:val="000000"/>
          <w:sz w:val="24"/>
          <w:u w:val="single"/>
        </w:rPr>
        <w:t>Transferability of Awards</w:t>
      </w:r>
      <w:r>
        <w:rPr>
          <w:rFonts w:ascii="Times New Roman" w:hAnsi="Times New Roman"/>
          <w:color w:val="000000"/>
          <w:sz w:val="24"/>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13. </w:t>
      </w:r>
      <w:r>
        <w:rPr>
          <w:rFonts w:ascii="Times New Roman" w:hAnsi="Times New Roman"/>
          <w:color w:val="000000"/>
          <w:sz w:val="24"/>
          <w:u w:val="single"/>
        </w:rPr>
        <w:t>Adjustments; Dissolution or Liquidation; Merger or Change in Control</w:t>
      </w:r>
      <w:r>
        <w:rPr>
          <w:rFonts w:ascii="Times New Roman" w:hAnsi="Times New Roman"/>
          <w:color w:val="000000"/>
          <w:sz w:val="24"/>
        </w:rPr>
        <w:t>.</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Adjustments</w:t>
      </w:r>
      <w:r>
        <w:rPr>
          <w:rFonts w:ascii="Times New Roman" w:hAnsi="Times New Roman"/>
          <w:color w:val="000000"/>
          <w:sz w:val="24"/>
        </w:rPr>
        <w:t>. In the event of a stock split, reverse stock split, stock dividend, combination, consolidation, recapitalization (including a recapitalization through a large nonrecurring cash dividend) or reclassification of the Shares, subdivision of the Shares, a rights offering, a reorganization, merger, spin-off, split-up, repurchase, or exchange of Common Stock or other securities of the Company or other significant corporate transaction, or other change affecting the Common Stock occurs, the Administrator, in order to prevent dilution or enlargement of the benefits or potential benefits intended to be made available under the Plan, will, in such manner as it may deem equitable, adjust the number, kind and class of securities that may be delivered under the Plan and/or the number, class, kind and price of securities covered by each outstanding Award in accordance with the Plan, the numerical Share limits in Section 3 of the Plan. Notwithstanding the forgoing, all adjustments under this Section 13 shall be made in a manner that does not result in taxation under Code Section 409A.</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(b) </w:t>
      </w:r>
      <w:r>
        <w:rPr>
          <w:rFonts w:ascii="Times New Roman" w:hAnsi="Times New Roman"/>
          <w:color w:val="000000"/>
          <w:sz w:val="24"/>
          <w:u w:val="single"/>
        </w:rPr>
        <w:t>Dissolution or Liquidation</w:t>
      </w:r>
      <w:r>
        <w:rPr>
          <w:rFonts w:ascii="Times New Roman" w:hAnsi="Times New Roman"/>
          <w:color w:val="000000"/>
          <w:sz w:val="24"/>
        </w:rPr>
        <w:t>. In the event of the proposed winding up,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(c) </w:t>
      </w:r>
      <w:r>
        <w:rPr>
          <w:rFonts w:ascii="Times New Roman" w:hAnsi="Times New Roman"/>
          <w:color w:val="000000"/>
          <w:sz w:val="24"/>
          <w:u w:val="single"/>
        </w:rPr>
        <w:t>Change in Control</w:t>
      </w:r>
      <w:r>
        <w:rPr>
          <w:rFonts w:ascii="Times New Roman" w:hAnsi="Times New Roman"/>
          <w:color w:val="000000"/>
          <w:sz w:val="24"/>
        </w:rPr>
        <w:t xml:space="preserve">. In the event of a merger or Change in Control, each outstanding Award will be subject to the agreement evidencing the merger or Change in Control and will be treated as the Administrator determines, including, without limitation, that each Award may be continued, assumed, cancelled or an equivalent option or right substituted by the successor corporation or a Parent or Subsidiary of the successor corporation, in each case after taking into account appropriate adjustments for the number and kind of shares and exercise prices pursuant to Section 424(a) of the Code and/or Section 409A of the Code, as applicable, or that an Award may be immediately vested (and exercisable, as applicable) and settled (as applicable), in whole or in part, followed by the cancellation of such Awards upon or immediately prior to the effectiveness of such transaction, or settled for their intrinsic value (whether or not vested or exercisable) in cash or cash equivalents or equity (including cash or </w:t>
      </w:r>
    </w:p>
    <w:p>
      <w:pPr>
        <w:pStyle w:val="TextBody"/>
        <w:bidi w:val="0"/>
        <w:jc w:val="center"/>
        <w:rPr>
          <w:rFonts w:ascii="sans-serif" w:hAnsi="sans-serif"/>
          <w:color w:val="000000"/>
          <w:sz w:val="22"/>
        </w:rPr>
      </w:pPr>
      <w:r>
        <w:rPr>
          <w:rFonts w:ascii="sans-serif" w:hAnsi="sans-serif"/>
          <w:color w:val="000000"/>
          <w:sz w:val="22"/>
        </w:rPr>
        <w:t>17</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 xml:space="preserve">equity subject to deferred vesting and delivery consistent with vesting restrictions applicable to such Awards or the underlying Shares) followed by the cancellation of such Awards if not exercised or settled and, for the avoidance of doubt, if as of the date of the occurrence of the merger or Change in Control, the Administrator determines in good faith that no amount would have been attained upon the exercise of such Award or realization of the Participant’s rights, then such Award may be terminated by the Company without payment, in each case without the Participant’s consent. The successor corporation may also issue, as replacement of outstanding Shares of the Company held by the Participant, substantially similar shares or other property subject to repurchase restrictions no less favorable to the Participant. The Committee shall have full power and authority to assign the Company’s right to repurchase, right to reacquire and/or forfeiture rights to such successor or acquiring corporation. The Administrator need not treat all Awards similarly in the transaction or take the same action or actions with respect to all Awards or portions thereof or with respect to all Participants. The Administrator may take different actions with respect to different Participants and the vested and unvested portions of an Award.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(i) Except as set forth in an Award Agreement, 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immediately prior to the consummation of the Change in Control.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(iii) Notwithstanding anything in this Section 13(c) to the contrary, an Award that vests, is earned or paid-out upon the satisfaction of one or more Performance Goals will not be considered assumed if the Company or its successor modifies any of such </w:t>
      </w:r>
    </w:p>
    <w:p>
      <w:pPr>
        <w:pStyle w:val="TextBody"/>
        <w:bidi w:val="0"/>
        <w:jc w:val="center"/>
        <w:rPr>
          <w:rFonts w:ascii="sans-serif" w:hAnsi="sans-serif"/>
          <w:color w:val="000000"/>
          <w:sz w:val="22"/>
        </w:rPr>
      </w:pPr>
      <w:r>
        <w:rPr>
          <w:rFonts w:ascii="sans-serif" w:hAnsi="sans-serif"/>
          <w:color w:val="000000"/>
          <w:sz w:val="22"/>
        </w:rPr>
        <w:t>18</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pStyle w:val="TextBody"/>
        <w:bidi w:val="0"/>
        <w:jc w:val="left"/>
        <w:rPr>
          <w:rFonts w:ascii="Times New Roman" w:hAnsi="Times New Roman"/>
          <w:sz w:val="24"/>
        </w:rPr>
      </w:pPr>
      <w:r>
        <w:rPr>
          <w:rFonts w:ascii="Times New Roman" w:hAnsi="Times New Roman"/>
          <w:color w:val="000000"/>
          <w:sz w:val="24"/>
        </w:rPr>
        <w:t xml:space="preserve">(d) </w:t>
      </w:r>
      <w:r>
        <w:rPr>
          <w:rFonts w:ascii="Times New Roman" w:hAnsi="Times New Roman"/>
          <w:color w:val="000000"/>
          <w:sz w:val="24"/>
          <w:u w:val="single"/>
        </w:rPr>
        <w:t>Assumption of Awards by the Company</w:t>
      </w:r>
      <w:r>
        <w:rPr>
          <w:rFonts w:ascii="Times New Roman" w:hAnsi="Times New Roman"/>
          <w:color w:val="000000"/>
          <w:sz w:val="24"/>
        </w:rPr>
        <w:t>. The Company, from time to time, also may substitute or assume outstanding awards granted by another company, whether in connection with an acquisition of such other company or otherwise, by either; (a) granting an Award under this Plan in 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w:t>
      </w:r>
      <w:r>
        <w:rPr>
          <w:rFonts w:ascii="Times New Roman" w:hAnsi="Times New Roman"/>
          <w:color w:val="000000"/>
          <w:sz w:val="24"/>
          <w:u w:val="single"/>
        </w:rPr>
        <w:t>except</w:t>
      </w:r>
      <w:r>
        <w:rPr>
          <w:rFonts w:ascii="Times New Roman" w:hAnsi="Times New Roman"/>
          <w:color w:val="000000"/>
          <w:sz w:val="24"/>
        </w:rPr>
        <w:t xml:space="preserve"> that the purchase price or the exercise price, as the case may be, and the number and nature of Shares issuable upon exercise or settlement of any such Award will be adjusted appropriately pursuant to Section 424(a) of the Code). In the event the Company elects to grant a new Option in substitution rather than assuming an existing option, such new Option may be granted with a similarly adjusted exercise price. Assumed awards or Substitute Awards, and shares issued upon exercise of such assumed or substituted awards or shares issued in connection with a merger or acquisition as and to the extent permitted by applicable Nasdaq listing rules or other applicable stock exchange rules, will not reduce the number of Shares authorized for grant under the Plan or authorized for grant to a Participant in a calendar year.</w:t>
      </w:r>
    </w:p>
    <w:p>
      <w:pPr>
        <w:pStyle w:val="TextBody"/>
        <w:bidi w:val="0"/>
        <w:spacing w:before="240" w:after="240"/>
        <w:jc w:val="left"/>
        <w:rPr>
          <w:rFonts w:ascii="Times New Roman" w:hAnsi="Times New Roman"/>
          <w:sz w:val="24"/>
        </w:rPr>
      </w:pPr>
      <w:r>
        <w:rPr>
          <w:rFonts w:ascii="Times New Roman" w:hAnsi="Times New Roman"/>
          <w:color w:val="000000"/>
          <w:sz w:val="24"/>
        </w:rPr>
        <w:t xml:space="preserve">(e) </w:t>
      </w:r>
      <w:r>
        <w:rPr>
          <w:rFonts w:ascii="Times New Roman" w:hAnsi="Times New Roman"/>
          <w:color w:val="000000"/>
          <w:sz w:val="24"/>
          <w:u w:val="single"/>
        </w:rPr>
        <w:t>Outside Directors’ Awards</w:t>
      </w:r>
      <w:r>
        <w:rPr>
          <w:rFonts w:ascii="Times New Roman" w:hAnsi="Times New Roman"/>
          <w:color w:val="000000"/>
          <w:sz w:val="24"/>
        </w:rPr>
        <w:t>. Notwithstanding any provision to the contrary herein, in the event of a Change in Control, the vesting of all Awards granted to Outside Directors will accelerate and such Awards will become exercisable (as applicable) in full prior to the consummation of such event at such times and on such conditions as the Administrator determines.</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14. </w:t>
      </w:r>
      <w:r>
        <w:rPr>
          <w:rFonts w:ascii="Times New Roman" w:hAnsi="Times New Roman"/>
          <w:color w:val="000000"/>
          <w:sz w:val="24"/>
          <w:u w:val="single"/>
        </w:rPr>
        <w:t>Tax</w:t>
      </w:r>
      <w:r>
        <w:rPr>
          <w:rFonts w:ascii="Times New Roman" w:hAnsi="Times New Roman"/>
          <w:color w:val="000000"/>
          <w:sz w:val="24"/>
        </w:rPr>
        <w:t>.</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Withholding Requirements</w:t>
      </w:r>
      <w:r>
        <w:rPr>
          <w:rFonts w:ascii="Times New Roman" w:hAnsi="Times New Roman"/>
          <w:color w:val="000000"/>
          <w:sz w:val="24"/>
        </w:rPr>
        <w:t>. Prior to the delivery of any Shares or cash pursuant to an Award (or exercise thereof) or prior to any time the Award or Shares are subject to taxation, the Company and/or the Participant’s employer will have the power and the right to deduct or withhold, from any compensation payable to the Participant, or require a Participant to remit to the Company, an amount sufficient to satisfy federal, state, local, foreign or other taxes (including the Participant’s FICA obligation or social insurance contributions) required to be withheld with respect to such Award (or exercise thereof).</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(b) </w:t>
      </w:r>
      <w:r>
        <w:rPr>
          <w:rFonts w:ascii="Times New Roman" w:hAnsi="Times New Roman"/>
          <w:color w:val="000000"/>
          <w:sz w:val="24"/>
          <w:u w:val="single"/>
        </w:rPr>
        <w:t>Withholding Arrangements</w:t>
      </w:r>
      <w:r>
        <w:rPr>
          <w:rFonts w:ascii="Times New Roman" w:hAnsi="Times New Roman"/>
          <w:color w:val="000000"/>
          <w:sz w:val="24"/>
        </w:rPr>
        <w:t xml:space="preserve">. The Administrator, in its sole discretion and pursuant to such procedures as it may specify from time to time, may permit a Participant to satisfy such tax withholding obligation, in whole or in part by (without limitation) (a) paying cash, (b) electing to have the Company withhold otherwise deliverable cash or Shares having a Fair Market Value equal to the minimum statutory amount required to be withheld (to the extent required to avoid adverse accounting consequences), or (c) delivering to the Company already-owned Shares having a Fair Market Value equal to the minimum statutory amount required to be </w:t>
      </w:r>
    </w:p>
    <w:p>
      <w:pPr>
        <w:pStyle w:val="TextBody"/>
        <w:bidi w:val="0"/>
        <w:jc w:val="center"/>
        <w:rPr>
          <w:rFonts w:ascii="sans-serif" w:hAnsi="sans-serif"/>
          <w:color w:val="000000"/>
          <w:sz w:val="22"/>
        </w:rPr>
      </w:pPr>
      <w:r>
        <w:rPr>
          <w:rFonts w:ascii="sans-serif" w:hAnsi="sans-serif"/>
          <w:color w:val="000000"/>
          <w:sz w:val="22"/>
        </w:rPr>
        <w:t>19</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withheld to the extent required to avoid adverse accounting consequences or Shares having a Fair Market Value in excess of such amount that have been held for such period required to avoid adverse accounting consequences. Except as otherwise determined by the Administrator, the Fair Market Value of the Shares to be withheld or delivered will be determined as of the date that the taxes are required to be withheld. </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(c) </w:t>
      </w:r>
      <w:r>
        <w:rPr>
          <w:rFonts w:ascii="Times New Roman" w:hAnsi="Times New Roman"/>
          <w:color w:val="000000"/>
          <w:sz w:val="24"/>
          <w:u w:val="single"/>
        </w:rPr>
        <w:t>Compliance With Code Section 409A</w:t>
      </w:r>
      <w:r>
        <w:rPr>
          <w:rFonts w:ascii="Times New Roman" w:hAnsi="Times New Roman"/>
          <w:color w:val="000000"/>
          <w:sz w:val="24"/>
        </w:rPr>
        <w:t>. To the extent applicable, it is intended that this Plan and all Awards hereunder comply with, or be exempt from, the requirements of Section 409A of the Code and the Treasury Regulations and other guidance issued thereunder, and that this Plan and all Award Agreements shall be interpreted and applied by the Board in a manner consistent therewith, such that the grant, payment, settlement or deferral will not be subject to the additional tax or interest applicable under Code Section 409A. The Plan and each Award Agreement under the Plan is intended to meet the requirements of Code Section 409A (or an exemption therefrom)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(or an exemption therefrom), such that the grant, payment, settlement or deferral will not be subject to the additional tax or interest applicable under Code Section 409A. In the event that any (i) provision of this Plan or an Award Agreement, (ii) Award, payment, transaction or (iii) other action or arrangement contemplated by the provisions of this Plan, is determined by the Board or the Administrator to not comply with the applicable requirements of Section 409A of the Code and the Treasury Regulations and other guidance issued thereunder, the Board shall have the authority to take such actions and to make such changes to this Plan or an Award Agreement as the Board deems necessary to comply with such requirements without the consent of the Participant. No payment that constitutes deferred compensation under Section 409A of the Code that would otherwise be made under this Plan or an Award Agreement upon a termination of employment or other service will be made or provided unless and until such termination is also a “separation from service,” as determined in accordance with Section 409A of the Code, or unless such payment otherwise complies with Section 409A or is exempt from Section 409A. Notwithstanding the foregoing or anything elsewhere in this Plan or an Award Agreement to the contrary, if a Participant is a “specified employee” as defined in Section 409A of the Code at the time of termination of service with respect to an Award, then solely to the extent necessary to avoid the imposition of any additional tax under Section 409A of the Code, the commencement of any payments or benefits under the Award shall be deferred until the date that is six (6) months plus one (1) day following the date of the Participant’s termination or, if earlier, the Participant’s death (or such other period as required to comply with Section 409A). Notwithstanding the foregoing, or any provision of this Plan or any Award Agreement, the Company does not make any representation to any Participant that any Awards made pursuant to this Plan are exempt from, or satisfy, the requirements of Section 409A of the Code, and in no event whatsoever shall the Company be responsible or liable for, or indemnify, reimburse or hold harmless the Participant for, any additional tax, interest or penalties that may be imposed on a Participant by Section 409A of the Code or any damages for failing to comply with Section 409A of the Code or for any taxes or other penalties incurred as a result of the application of Code Section 409A.</w:t>
      </w:r>
    </w:p>
    <w:p>
      <w:pPr>
        <w:pStyle w:val="TextBody"/>
        <w:bidi w:val="0"/>
        <w:jc w:val="center"/>
        <w:rPr>
          <w:rFonts w:ascii="sans-serif" w:hAnsi="sans-serif"/>
          <w:color w:val="000000"/>
          <w:sz w:val="22"/>
        </w:rPr>
      </w:pPr>
      <w:r>
        <w:rPr>
          <w:rFonts w:ascii="sans-serif" w:hAnsi="sans-serif"/>
          <w:color w:val="000000"/>
          <w:sz w:val="22"/>
        </w:rPr>
        <w:t>20</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15. </w:t>
      </w:r>
      <w:r>
        <w:rPr>
          <w:rFonts w:ascii="Times New Roman" w:hAnsi="Times New Roman"/>
          <w:color w:val="000000"/>
          <w:sz w:val="24"/>
          <w:u w:val="single"/>
        </w:rPr>
        <w:t>No Effect on Employment or Service</w:t>
      </w:r>
      <w:r>
        <w:rPr>
          <w:rFonts w:ascii="Times New Roman" w:hAnsi="Times New Roman"/>
          <w:color w:val="000000"/>
          <w:sz w:val="24"/>
        </w:rPr>
        <w:t>. Neither the Plan nor any Award will confer upon a Participant any right with respect to continuing the Participant’s relationship as a Service Provider with the Company, or (if different) the Participant’s employer, nor will they interfere in any way with the Participant’s right or the Participant’s employer’s right to terminate such relationship at any time, with or without cause, to the extent permitted by Applicable Laws.</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16. </w:t>
      </w:r>
      <w:r>
        <w:rPr>
          <w:rFonts w:ascii="Times New Roman" w:hAnsi="Times New Roman"/>
          <w:color w:val="000000"/>
          <w:sz w:val="24"/>
          <w:u w:val="single"/>
        </w:rPr>
        <w:t>Date of Grant</w:t>
      </w:r>
      <w:r>
        <w:rPr>
          <w:rFonts w:ascii="Times New Roman" w:hAnsi="Times New Roman"/>
          <w:color w:val="000000"/>
          <w:sz w:val="24"/>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17. </w:t>
      </w:r>
      <w:r>
        <w:rPr>
          <w:rFonts w:ascii="Times New Roman" w:hAnsi="Times New Roman"/>
          <w:color w:val="000000"/>
          <w:sz w:val="24"/>
          <w:u w:val="single"/>
        </w:rPr>
        <w:t>Term of Plan</w:t>
      </w:r>
      <w:r>
        <w:rPr>
          <w:rFonts w:ascii="Times New Roman" w:hAnsi="Times New Roman"/>
          <w:color w:val="000000"/>
          <w:sz w:val="24"/>
        </w:rPr>
        <w:t>. Subject to Section 21 of the Plan, the Plan will become effective upon the earlier of its adoption by the Board or the Company’s stockholders. It will continue in effect for a term of ten (10) years from such effective date, unless terminated earlier under Section 18 of the Plan.</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18. </w:t>
      </w:r>
      <w:r>
        <w:rPr>
          <w:rFonts w:ascii="Times New Roman" w:hAnsi="Times New Roman"/>
          <w:color w:val="000000"/>
          <w:sz w:val="24"/>
          <w:u w:val="single"/>
        </w:rPr>
        <w:t>Amendment and Termination of the Plan</w:t>
      </w:r>
      <w:r>
        <w:rPr>
          <w:rFonts w:ascii="Times New Roman" w:hAnsi="Times New Roman"/>
          <w:color w:val="000000"/>
          <w:sz w:val="24"/>
        </w:rPr>
        <w:t>.</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Amendment and Termination</w:t>
      </w:r>
      <w:r>
        <w:rPr>
          <w:rFonts w:ascii="Times New Roman" w:hAnsi="Times New Roman"/>
          <w:color w:val="000000"/>
          <w:sz w:val="24"/>
        </w:rPr>
        <w:t xml:space="preserve">. The Administrator may at any time amend, alter, suspend or terminate the Plan. </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(b) </w:t>
      </w:r>
      <w:r>
        <w:rPr>
          <w:rFonts w:ascii="Times New Roman" w:hAnsi="Times New Roman"/>
          <w:color w:val="000000"/>
          <w:sz w:val="24"/>
          <w:u w:val="single"/>
        </w:rPr>
        <w:t>Stockholder Approval</w:t>
      </w:r>
      <w:r>
        <w:rPr>
          <w:rFonts w:ascii="Times New Roman" w:hAnsi="Times New Roman"/>
          <w:color w:val="000000"/>
          <w:sz w:val="24"/>
        </w:rPr>
        <w:t>. The Company will obtain stockholder approval of any Plan amendment to the extent necessary and desirable to comply with Applicable Laws or the listing requirements of The Nasdaq Stock Market.</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(c) </w:t>
      </w:r>
      <w:r>
        <w:rPr>
          <w:rFonts w:ascii="Times New Roman" w:hAnsi="Times New Roman"/>
          <w:color w:val="000000"/>
          <w:sz w:val="24"/>
          <w:u w:val="single"/>
        </w:rPr>
        <w:t>Effect of Amendment or Termination</w:t>
      </w:r>
      <w:r>
        <w:rPr>
          <w:rFonts w:ascii="Times New Roman" w:hAnsi="Times New Roman"/>
          <w:color w:val="000000"/>
          <w:sz w:val="24"/>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19. </w:t>
      </w:r>
      <w:r>
        <w:rPr>
          <w:rFonts w:ascii="Times New Roman" w:hAnsi="Times New Roman"/>
          <w:color w:val="000000"/>
          <w:sz w:val="24"/>
          <w:u w:val="single"/>
        </w:rPr>
        <w:t>Conditions Upon Issuance of Shares</w:t>
      </w:r>
      <w:r>
        <w:rPr>
          <w:rFonts w:ascii="Times New Roman" w:hAnsi="Times New Roman"/>
          <w:color w:val="000000"/>
          <w:sz w:val="24"/>
        </w:rPr>
        <w:t>.</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Legal Compliance</w:t>
      </w:r>
      <w:r>
        <w:rPr>
          <w:rFonts w:ascii="Times New Roman" w:hAnsi="Times New Roman"/>
          <w:color w:val="000000"/>
          <w:sz w:val="24"/>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(b) </w:t>
      </w:r>
      <w:r>
        <w:rPr>
          <w:rFonts w:ascii="Times New Roman" w:hAnsi="Times New Roman"/>
          <w:color w:val="000000"/>
          <w:sz w:val="24"/>
          <w:u w:val="single"/>
        </w:rPr>
        <w:t>Investment Representations</w:t>
      </w:r>
      <w:r>
        <w:rPr>
          <w:rFonts w:ascii="Times New Roman" w:hAnsi="Times New Roman"/>
          <w:color w:val="000000"/>
          <w:sz w:val="24"/>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20. </w:t>
      </w:r>
      <w:r>
        <w:rPr>
          <w:rFonts w:ascii="Times New Roman" w:hAnsi="Times New Roman"/>
          <w:color w:val="000000"/>
          <w:sz w:val="24"/>
          <w:u w:val="single"/>
        </w:rPr>
        <w:t>Inability to Obtain Authority</w:t>
      </w:r>
      <w:r>
        <w:rPr>
          <w:rFonts w:ascii="Times New Roman" w:hAnsi="Times New Roman"/>
          <w:color w:val="000000"/>
          <w:sz w:val="24"/>
        </w:rPr>
        <w:t xml:space="preserve">. The inability of the Company to obtain authority from any regulatory body having jurisdiction, which authority is deemed by the Company’s counsel to be necessary to the lawful issuance and sale of any Shares hereunder, will relieve the </w:t>
      </w:r>
    </w:p>
    <w:p>
      <w:pPr>
        <w:pStyle w:val="TextBody"/>
        <w:bidi w:val="0"/>
        <w:jc w:val="center"/>
        <w:rPr>
          <w:rFonts w:ascii="sans-serif" w:hAnsi="sans-serif"/>
          <w:color w:val="000000"/>
          <w:sz w:val="22"/>
        </w:rPr>
      </w:pPr>
      <w:r>
        <w:rPr>
          <w:rFonts w:ascii="sans-serif" w:hAnsi="sans-serif"/>
          <w:color w:val="000000"/>
          <w:sz w:val="22"/>
        </w:rPr>
        <w:t>21</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Company of any liability in respect of the failure to issue or sell such Shares as to which such requisite authority will not have been obtained.</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21. </w:t>
      </w:r>
      <w:r>
        <w:rPr>
          <w:rFonts w:ascii="Times New Roman" w:hAnsi="Times New Roman"/>
          <w:color w:val="000000"/>
          <w:sz w:val="24"/>
          <w:u w:val="single"/>
        </w:rPr>
        <w:t>Stockholder Approval</w:t>
      </w:r>
      <w:r>
        <w:rPr>
          <w:rFonts w:ascii="Times New Roman" w:hAnsi="Times New Roman"/>
          <w:color w:val="000000"/>
          <w:sz w:val="24"/>
        </w:rPr>
        <w:t>. The Plan will be subject to approval by the stockholders of the Company within twelve (12) months after the date the Plan is adopted by the Board. Such stockholder approval will be obtained in the manner and to the degree required under Applicable Laws.</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22. </w:t>
      </w:r>
      <w:r>
        <w:rPr>
          <w:rFonts w:ascii="Times New Roman" w:hAnsi="Times New Roman"/>
          <w:color w:val="000000"/>
          <w:sz w:val="24"/>
          <w:u w:val="single"/>
        </w:rPr>
        <w:t>Governing Law</w:t>
      </w:r>
      <w:r>
        <w:rPr>
          <w:rFonts w:ascii="Times New Roman" w:hAnsi="Times New Roman"/>
          <w:color w:val="000000"/>
          <w:sz w:val="24"/>
        </w:rPr>
        <w:t>. The Plan and all Awards hereunder shall be construed in accordance with and governed by the laws of the State of Delaware, but without regard to its conflict of law provisions.</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23. </w:t>
      </w:r>
      <w:r>
        <w:rPr>
          <w:rFonts w:ascii="Times New Roman" w:hAnsi="Times New Roman"/>
          <w:color w:val="000000"/>
          <w:sz w:val="24"/>
          <w:u w:val="single"/>
        </w:rPr>
        <w:t>Other Laws</w:t>
      </w:r>
      <w:r>
        <w:rPr>
          <w:rFonts w:ascii="Times New Roman" w:hAnsi="Times New Roman"/>
          <w:color w:val="000000"/>
          <w:sz w:val="24"/>
        </w:rPr>
        <w:t xml:space="preserve">. The Board may refuse to issue or transfer any Shares or other consideration under an Award if, acting in its sole discretion, it determines that the issuance or transfer of such shares or such other consideration might violate any applicable law or regulation or entitle the Company to recover the same under Section 16(b) of the Exchange Act, and any payment tendered to the Company by a Participant, other holder or beneficiary in connection with the exercise of such Award shall be promptly refunded to the relevant Participant, holder or beneficiary. In addition, by accepting or exercising any Award granted under this Plan (or any predecessor plan), the Participant agrees to abide and be bound by any compensation or recoupment policies required by law or policies adopted by the Company pursuant to the Dodd-Frank Wall Street Reform and Consumer Protection Act and any rules or exchange listing standards promulgated thereunder calling for the repayment and/or forfeiture of any Award or payment resulting from an accounting restatement. Such repayment and/or forfeiture provisions shall apply whether or not the Participant is employed by or affiliated with the Company. In addition to any other remedies available under such policy and applicable law, the Company may require the cancellation of outstanding Awards and the recoupment of any gains realized with respect to Awards. </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24. </w:t>
      </w:r>
      <w:r>
        <w:rPr>
          <w:rFonts w:ascii="Times New Roman" w:hAnsi="Times New Roman"/>
          <w:color w:val="000000"/>
          <w:sz w:val="24"/>
          <w:u w:val="single"/>
        </w:rPr>
        <w:t>Severability and Reformation</w:t>
      </w:r>
      <w:r>
        <w:rPr>
          <w:rFonts w:ascii="Times New Roman" w:hAnsi="Times New Roman"/>
          <w:color w:val="000000"/>
          <w:sz w:val="24"/>
        </w:rPr>
        <w:t xml:space="preserve">. If any provision of this Plan or any Award is or becomes or is deemed to be invalid, illegal, or unenforceable in any jurisdiction or as to any person or Award, or would disqualify this Plan or any Award under any law deemed applicable by the Board, such provision shall be construed or deemed amended to conform to the applicable law or, if it cannot be construed or deemed amended without, in the determination of the Board, materially altering the intent of this Plan or the Award, such provision shall be stricken as to such jurisdiction, person or Award and the remainder of this Plan and any such Award shall remain in full force and effect. If any of the terms or provisions of this Plan or any Award Agreement conflict with the requirements of Rule 16b-3 (as those terms or provisions are applied to Participants who are subject to Section 16 of the Exchange Act) or Section 422 of the Code (with respect to Incentive Stock Options), then those conflicting terms or provisions shall be deemed inoperative to the extent they so conflict with the requirements of Rule 16b-3 (unless the Board or the Administrator, as appropriate, has expressly determined that this Plan or such Award should not comply with Rule 16b-3) or Section 422 of the Code, in each case, only to the extent Rule 16b-3 and such section of the Code are applicable. With respect to Incentive Stock Options, if this Plan does not contain any provision required to be included herein under Section 422 of the Code, that provision shall be deemed to be incorporated herein with the same force and effect as if that provision had been set out at length herein; provided, further, that, to the </w:t>
      </w:r>
    </w:p>
    <w:p>
      <w:pPr>
        <w:pStyle w:val="TextBody"/>
        <w:bidi w:val="0"/>
        <w:jc w:val="center"/>
        <w:rPr>
          <w:rFonts w:ascii="sans-serif" w:hAnsi="sans-serif"/>
          <w:color w:val="000000"/>
          <w:sz w:val="22"/>
        </w:rPr>
      </w:pPr>
      <w:r>
        <w:rPr>
          <w:rFonts w:ascii="sans-serif" w:hAnsi="sans-serif"/>
          <w:color w:val="000000"/>
          <w:sz w:val="22"/>
        </w:rPr>
        <w:t>22</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extent any Option that is intended to qualify as an Incentive Stock Option cannot so qualify, that Option (to that extent) shall be deemed a Nonqualified Stock Option for all purposes of this Plan.</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25. </w:t>
      </w:r>
      <w:r>
        <w:rPr>
          <w:rFonts w:ascii="Times New Roman" w:hAnsi="Times New Roman"/>
          <w:color w:val="000000"/>
          <w:sz w:val="24"/>
          <w:u w:val="single"/>
        </w:rPr>
        <w:t>No Trust or Fund Created</w:t>
      </w:r>
      <w:r>
        <w:rPr>
          <w:rFonts w:ascii="Times New Roman" w:hAnsi="Times New Roman"/>
          <w:color w:val="000000"/>
          <w:sz w:val="24"/>
        </w:rPr>
        <w:t>. Neither this Plan nor an Award shall create or be construed to create a trust or separate fund of any kind or a fiduciary relationship between the Company and a Participant or any other person. To the extent that a Participant acquires the right to receive payments from the Company pursuant to an Award, such right shall be no greater than the right of any general unsecured creditor of the Company.</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26. </w:t>
      </w:r>
      <w:r>
        <w:rPr>
          <w:rFonts w:ascii="Times New Roman" w:hAnsi="Times New Roman"/>
          <w:color w:val="000000"/>
          <w:sz w:val="24"/>
          <w:u w:val="single"/>
        </w:rPr>
        <w:t>Status under ERISA</w:t>
      </w:r>
      <w:r>
        <w:rPr>
          <w:rFonts w:ascii="Times New Roman" w:hAnsi="Times New Roman"/>
          <w:color w:val="000000"/>
          <w:sz w:val="24"/>
        </w:rPr>
        <w:t>. This Plan shall not constitute an “employee benefit plan” for purposes of Section 3(3) of the Employee Retirement Income Security Act of 1974, as amended.</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27. </w:t>
      </w:r>
      <w:r>
        <w:rPr>
          <w:rFonts w:ascii="Times New Roman" w:hAnsi="Times New Roman"/>
          <w:color w:val="000000"/>
          <w:sz w:val="24"/>
          <w:u w:val="single"/>
        </w:rPr>
        <w:t>Insider Trading Policy</w:t>
      </w:r>
      <w:r>
        <w:rPr>
          <w:rFonts w:ascii="Times New Roman" w:hAnsi="Times New Roman"/>
          <w:color w:val="000000"/>
          <w:sz w:val="24"/>
        </w:rPr>
        <w:t>. Each Participant who receives an Award will comply with any policy adopted by the Company from time to time covering transactions in the Company’s securities by eligible Employees, officers and/or directors of the Company, as applicable, as well as with any insider trading or market abuse laws to which the Participant may be subject.</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28. </w:t>
      </w:r>
      <w:r>
        <w:rPr>
          <w:rFonts w:ascii="Times New Roman" w:hAnsi="Times New Roman"/>
          <w:color w:val="000000"/>
          <w:sz w:val="24"/>
          <w:u w:val="single"/>
        </w:rPr>
        <w:t>Amendments to Awards</w:t>
      </w:r>
      <w:r>
        <w:rPr>
          <w:rFonts w:ascii="Times New Roman" w:hAnsi="Times New Roman"/>
          <w:color w:val="000000"/>
          <w:sz w:val="24"/>
        </w:rPr>
        <w:t>. Subject to the other terms and conditions of this Plan, the Board may at any time unilaterally amend the terms of any Award Agreement, whether or not currently exercisable or vested, to the extent it deems appropriate. However, amendments which materially and adversely affect the rights of a Participant shall require the Participant’s consent.</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29. </w:t>
      </w:r>
      <w:r>
        <w:rPr>
          <w:rFonts w:ascii="Times New Roman" w:hAnsi="Times New Roman"/>
          <w:color w:val="000000"/>
          <w:sz w:val="24"/>
          <w:u w:val="single"/>
        </w:rPr>
        <w:t>Regulatory Approval and Listings</w:t>
      </w:r>
      <w:r>
        <w:rPr>
          <w:rFonts w:ascii="Times New Roman" w:hAnsi="Times New Roman"/>
          <w:color w:val="000000"/>
          <w:sz w:val="24"/>
        </w:rPr>
        <w:t>. In the sole discretion of the Board, the Company may file with the Securities and Exchange Commission and keep continuously effective, a registration statement on Form S-8 with respect to Shares subject to Awards hereunder. Notwithstanding anything contained in this Plan to the contrary, the Company shall have no obligation to issue Shares under this Plan prior to the obtaining of any approval from, or satisfaction of any waiting period or other condition imposed by, any governmental agency which the Board shall, in its sole discretion, determine to be necessary or advisable. In addition, and notwithstanding anything contained in this Plan to the contrary, at such time as the Company is subject to the reporting requirements of Section 12 of the Exchange Act, the Company shall have no obligation to issue Shares under this Plan prior to:</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if the Common Stock is listed on a stock exchange, the admission of such shares to listing on the stock exchange on which the Common Stock may be listed;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the completion of any registration or other qualification of such shares under any state or federal law or ruling of any governmental body which the Board shall, in its sole discretion, determine to be necessary or advisable.</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30. </w:t>
      </w:r>
      <w:r>
        <w:rPr>
          <w:rFonts w:ascii="Times New Roman" w:hAnsi="Times New Roman"/>
          <w:color w:val="000000"/>
          <w:sz w:val="24"/>
          <w:u w:val="single"/>
        </w:rPr>
        <w:t>Right to Continued Employment or Other Service</w:t>
      </w:r>
      <w:r>
        <w:rPr>
          <w:rFonts w:ascii="Times New Roman" w:hAnsi="Times New Roman"/>
          <w:color w:val="000000"/>
          <w:sz w:val="24"/>
        </w:rPr>
        <w:t xml:space="preserve">. Participation in this Plan shall not give any Service Provider any right to remain in the employ or other service of the Company, any Subsidiary, or any Parent or Subsidiary. The Company or, in the case of employment or other service with a Parent or Subsidiary, the Parent or Subsidiary, reserves the right to terminate any Service Provider at any time. Further, the adoption of this Plan shall not be deemed to give </w:t>
      </w:r>
    </w:p>
    <w:p>
      <w:pPr>
        <w:pStyle w:val="TextBody"/>
        <w:bidi w:val="0"/>
        <w:jc w:val="center"/>
        <w:rPr>
          <w:rFonts w:ascii="sans-serif" w:hAnsi="sans-serif"/>
          <w:color w:val="000000"/>
          <w:sz w:val="22"/>
        </w:rPr>
      </w:pPr>
      <w:r>
        <w:rPr>
          <w:rFonts w:ascii="sans-serif" w:hAnsi="sans-serif"/>
          <w:color w:val="000000"/>
          <w:sz w:val="22"/>
        </w:rPr>
        <w:t>23</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Service Provider or any other individual any right to be selected as a Participant or to be granted an Award.</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31. </w:t>
      </w:r>
      <w:r>
        <w:rPr>
          <w:rFonts w:ascii="Times New Roman" w:hAnsi="Times New Roman"/>
          <w:color w:val="000000"/>
          <w:sz w:val="24"/>
          <w:u w:val="single"/>
        </w:rPr>
        <w:t>Reliance on Reports</w:t>
      </w:r>
      <w:r>
        <w:rPr>
          <w:rFonts w:ascii="Times New Roman" w:hAnsi="Times New Roman"/>
          <w:color w:val="000000"/>
          <w:sz w:val="24"/>
        </w:rPr>
        <w:t>. Each member of the Board shall be fully justified in relying or acting in good faith upon any report made by the independent public accountants of the Company and its Subsidiaries and upon any other information furnished in connection with this Plan by any person or persons other than himself or herself. In no event shall any person who is or shall have been a member of the Board be liable for any determination made or other action taken or any omission to act in reliance upon any such report or information or for any action taken, including the furnishing of information, or failure to act, if in good faith.</w:t>
      </w:r>
    </w:p>
    <w:p>
      <w:pPr>
        <w:pStyle w:val="TextBody"/>
        <w:bidi w:val="0"/>
        <w:spacing w:before="0" w:after="240"/>
        <w:jc w:val="left"/>
        <w:rPr/>
      </w:pPr>
      <w:r>
        <w:rPr/>
        <w:t> </w:t>
      </w:r>
    </w:p>
    <w:p>
      <w:pPr>
        <w:pStyle w:val="TextBody"/>
        <w:bidi w:val="0"/>
        <w:jc w:val="center"/>
        <w:rPr>
          <w:rFonts w:ascii="sans-serif" w:hAnsi="sans-serif"/>
          <w:color w:val="000000"/>
          <w:sz w:val="22"/>
        </w:rPr>
      </w:pPr>
      <w:r>
        <w:rPr>
          <w:rFonts w:ascii="sans-serif" w:hAnsi="sans-serif"/>
          <w:color w:val="000000"/>
          <w:sz w:val="22"/>
        </w:rPr>
        <w:t>24</w:t>
      </w:r>
    </w:p>
    <w:p>
      <w:pPr>
        <w:pStyle w:val="HorizontalLine"/>
        <w:pBdr>
          <w:bottom w:val="double" w:sz="2" w:space="0" w:color="808080"/>
        </w:pBdr>
        <w:bidi w:val="0"/>
        <w:spacing w:before="0" w:after="283"/>
        <w:jc w:val="left"/>
        <w:rPr/>
      </w:pPr>
      <w:r>
        <w:rPr/>
      </w:r>
    </w:p>
    <w:p>
      <w:pPr>
        <w:pStyle w:val="TextBody"/>
        <w:bidi w:val="0"/>
        <w:jc w:val="left"/>
        <w:rPr/>
      </w:pPr>
      <w:bookmarkStart w:id="4" w:name="rkda-ex10_2.htm"/>
      <w:bookmarkStart w:id="5" w:name="ksrkdaex10_2"/>
      <w:bookmarkEnd w:id="4"/>
      <w:bookmarkEnd w:id="5"/>
      <w:r>
        <w:rPr/>
        <w:t> </w:t>
      </w:r>
      <w:r>
        <w:br w:type="page"/>
      </w:r>
    </w:p>
    <w:p>
      <w:pPr>
        <w:pStyle w:val="Heading2"/>
        <w:bidi w:val="0"/>
        <w:jc w:val="right"/>
        <w:rPr>
          <w:rFonts w:ascii="Times New Roman" w:hAnsi="Times New Roman"/>
          <w:color w:val="000000"/>
          <w:sz w:val="20"/>
        </w:rPr>
      </w:pPr>
      <w:r>
        <w:rPr>
          <w:rFonts w:ascii="Times New Roman" w:hAnsi="Times New Roman"/>
          <w:color w:val="000000"/>
          <w:sz w:val="20"/>
        </w:rPr>
        <w:t>Exhibit 10.2</w:t>
      </w:r>
    </w:p>
    <w:p>
      <w:pPr>
        <w:pStyle w:val="Heading2"/>
        <w:bidi w:val="0"/>
        <w:jc w:val="center"/>
        <w:rPr/>
      </w:pPr>
      <w:r>
        <w:rPr/>
        <w:t> </w:t>
      </w:r>
    </w:p>
    <w:p>
      <w:pPr>
        <w:pStyle w:val="Heading2"/>
        <w:bidi w:val="0"/>
        <w:jc w:val="center"/>
        <w:rPr>
          <w:rFonts w:ascii="Times New Roman" w:hAnsi="Times New Roman"/>
          <w:color w:val="000000"/>
          <w:sz w:val="20"/>
        </w:rPr>
      </w:pPr>
      <w:r>
        <w:rPr>
          <w:rFonts w:ascii="Times New Roman" w:hAnsi="Times New Roman"/>
          <w:color w:val="000000"/>
          <w:sz w:val="20"/>
        </w:rPr>
        <w:t>ARCADIA BIOSCIENCES, INC.</w:t>
      </w:r>
    </w:p>
    <w:p>
      <w:pPr>
        <w:pStyle w:val="TextBody"/>
        <w:bidi w:val="0"/>
        <w:jc w:val="center"/>
        <w:rPr>
          <w:rFonts w:ascii="Times New Roman" w:hAnsi="Times New Roman"/>
          <w:sz w:val="20"/>
        </w:rPr>
      </w:pPr>
      <w:r>
        <w:rPr>
          <w:rFonts w:ascii="Times New Roman" w:hAnsi="Times New Roman"/>
          <w:b/>
          <w:color w:val="000000"/>
          <w:sz w:val="20"/>
        </w:rPr>
        <w:t>2026 OMNIBUS EQUITY INCENTIVE PLAN</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STOCK OPTION AWARD AGREEMENT</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0"/>
        </w:rPr>
        <w:t>Unless otherwise defined herein, the terms defined in the Arcadia Biosciences, Inc. 2026 Omnibus Equity Incentive Plan (the “</w:t>
      </w:r>
      <w:r>
        <w:rPr>
          <w:rFonts w:ascii="Times New Roman" w:hAnsi="Times New Roman"/>
          <w:b/>
          <w:i/>
          <w:color w:val="000000"/>
          <w:sz w:val="20"/>
        </w:rPr>
        <w:t>Plan</w:t>
      </w:r>
      <w:r>
        <w:rPr>
          <w:rFonts w:ascii="Times New Roman" w:hAnsi="Times New Roman"/>
          <w:color w:val="000000"/>
          <w:sz w:val="20"/>
        </w:rPr>
        <w:t>”) will have the same defined meanings in this Stock Option Award Agreement (the “</w:t>
      </w:r>
      <w:r>
        <w:rPr>
          <w:rFonts w:ascii="Times New Roman" w:hAnsi="Times New Roman"/>
          <w:b/>
          <w:i/>
          <w:color w:val="000000"/>
          <w:sz w:val="20"/>
        </w:rPr>
        <w:t>Award Agreement</w:t>
      </w:r>
      <w:r>
        <w:rPr>
          <w:rFonts w:ascii="Times New Roman" w:hAnsi="Times New Roman"/>
          <w:color w:val="000000"/>
          <w:sz w:val="20"/>
        </w:rPr>
        <w:t>”).</w:t>
      </w:r>
    </w:p>
    <w:p>
      <w:pPr>
        <w:pStyle w:val="Heading2"/>
        <w:bidi w:val="0"/>
        <w:spacing w:before="240" w:after="283"/>
        <w:jc w:val="center"/>
        <w:rPr>
          <w:rFonts w:ascii="Times New Roman" w:hAnsi="Times New Roman"/>
          <w:color w:val="000000"/>
          <w:sz w:val="20"/>
          <w:u w:val="single"/>
        </w:rPr>
      </w:pPr>
      <w:r>
        <w:rPr>
          <w:rFonts w:ascii="Times New Roman" w:hAnsi="Times New Roman"/>
          <w:color w:val="000000"/>
          <w:sz w:val="20"/>
          <w:u w:val="single"/>
        </w:rPr>
        <w:t>NOTICE OF STOCK OPTION GRANT</w:t>
      </w:r>
    </w:p>
    <w:p>
      <w:pPr>
        <w:pStyle w:val="TextBody"/>
        <w:bidi w:val="0"/>
        <w:spacing w:before="240" w:after="283"/>
        <w:jc w:val="both"/>
        <w:rPr>
          <w:rFonts w:ascii="Times New Roman" w:hAnsi="Times New Roman"/>
          <w:sz w:val="20"/>
        </w:rPr>
      </w:pPr>
      <w:r>
        <w:rPr>
          <w:rFonts w:ascii="Times New Roman" w:hAnsi="Times New Roman"/>
          <w:color w:val="000000"/>
          <w:sz w:val="20"/>
        </w:rPr>
        <w:t>You (“</w:t>
      </w:r>
      <w:r>
        <w:rPr>
          <w:rFonts w:ascii="Times New Roman" w:hAnsi="Times New Roman"/>
          <w:b/>
          <w:i/>
          <w:color w:val="000000"/>
          <w:sz w:val="20"/>
        </w:rPr>
        <w:t>Participant</w:t>
      </w:r>
      <w:r>
        <w:rPr>
          <w:rFonts w:ascii="Times New Roman" w:hAnsi="Times New Roman"/>
          <w:color w:val="000000"/>
          <w:sz w:val="20"/>
        </w:rPr>
        <w:t>”), as an employee of or consultant to Arcadia Biosciences, Inc. (the “</w:t>
      </w:r>
      <w:r>
        <w:rPr>
          <w:rFonts w:ascii="Times New Roman" w:hAnsi="Times New Roman"/>
          <w:b/>
          <w:i/>
          <w:color w:val="000000"/>
          <w:sz w:val="20"/>
        </w:rPr>
        <w:t>Company</w:t>
      </w:r>
      <w:r>
        <w:rPr>
          <w:rFonts w:ascii="Times New Roman" w:hAnsi="Times New Roman"/>
          <w:color w:val="000000"/>
          <w:sz w:val="20"/>
        </w:rPr>
        <w:t>”), have been granted a stock option (the “</w:t>
      </w:r>
      <w:r>
        <w:rPr>
          <w:rFonts w:ascii="Times New Roman" w:hAnsi="Times New Roman"/>
          <w:b/>
          <w:i/>
          <w:color w:val="000000"/>
          <w:sz w:val="20"/>
        </w:rPr>
        <w:t>Option</w:t>
      </w:r>
      <w:r>
        <w:rPr>
          <w:rFonts w:ascii="Times New Roman" w:hAnsi="Times New Roman"/>
          <w:color w:val="000000"/>
          <w:sz w:val="20"/>
        </w:rPr>
        <w:t>”) to purchase shares (the “</w:t>
      </w:r>
      <w:r>
        <w:rPr>
          <w:rFonts w:ascii="Times New Roman" w:hAnsi="Times New Roman"/>
          <w:b/>
          <w:i/>
          <w:color w:val="000000"/>
          <w:sz w:val="20"/>
        </w:rPr>
        <w:t>Shares</w:t>
      </w:r>
      <w:r>
        <w:rPr>
          <w:rFonts w:ascii="Times New Roman" w:hAnsi="Times New Roman"/>
          <w:color w:val="000000"/>
          <w:sz w:val="20"/>
        </w:rPr>
        <w:t>”) of Common Stock of the Company, subject to the terms and conditions of the Plan and this Award Agreement.</w:t>
      </w:r>
    </w:p>
    <w:p>
      <w:pPr>
        <w:pStyle w:val="TextBody"/>
        <w:bidi w:val="0"/>
        <w:spacing w:before="240" w:after="283"/>
        <w:jc w:val="left"/>
        <w:rPr>
          <w:rFonts w:ascii="Times New Roman" w:hAnsi="Times New Roman"/>
          <w:sz w:val="20"/>
        </w:rPr>
      </w:pPr>
      <w:r>
        <w:rPr>
          <w:rFonts w:ascii="Times New Roman" w:hAnsi="Times New Roman"/>
          <w:color w:val="000000"/>
          <w:sz w:val="20"/>
        </w:rPr>
        <w:t>The date of the award, type of award, vesting schedule, exercise price per share and total number of options awarded are set out on Exhibit A attached to this Award Agreement and/or in your Equiniti (“</w:t>
      </w:r>
      <w:r>
        <w:rPr>
          <w:rFonts w:ascii="Times New Roman" w:hAnsi="Times New Roman"/>
          <w:b/>
          <w:i/>
          <w:color w:val="000000"/>
          <w:sz w:val="20"/>
        </w:rPr>
        <w:t>Equiniti</w:t>
      </w:r>
      <w:r>
        <w:rPr>
          <w:rFonts w:ascii="Times New Roman" w:hAnsi="Times New Roman"/>
          <w:color w:val="000000"/>
          <w:sz w:val="20"/>
        </w:rPr>
        <w:t>”) EquiTrax online account information (“</w:t>
      </w:r>
      <w:r>
        <w:rPr>
          <w:rFonts w:ascii="Times New Roman" w:hAnsi="Times New Roman"/>
          <w:b/>
          <w:i/>
          <w:color w:val="000000"/>
          <w:sz w:val="20"/>
        </w:rPr>
        <w:t>EquiTrax</w:t>
      </w:r>
      <w:r>
        <w:rPr>
          <w:rFonts w:ascii="Times New Roman" w:hAnsi="Times New Roman"/>
          <w:color w:val="000000"/>
          <w:sz w:val="20"/>
        </w:rPr>
        <w:t>”). If the Company or the Administrator utilize a different third party to assist with administration of the Plan, then references herein to Equiniti will be deemed to refer to such other third party and references to EquiTrax will refer to such other online account and platform as is maintained by such other third party.</w:t>
      </w:r>
    </w:p>
    <w:p>
      <w:pPr>
        <w:pStyle w:val="TextBody"/>
        <w:bidi w:val="0"/>
        <w:spacing w:before="241" w:after="283"/>
        <w:jc w:val="left"/>
        <w:rPr>
          <w:rFonts w:ascii="Times New Roman" w:hAnsi="Times New Roman"/>
          <w:sz w:val="20"/>
        </w:rPr>
      </w:pPr>
      <w:r>
        <w:rPr>
          <w:rFonts w:ascii="Times New Roman" w:hAnsi="Times New Roman"/>
          <w:color w:val="000000"/>
          <w:sz w:val="20"/>
          <w:u w:val="single"/>
        </w:rPr>
        <w:t>Vesting Schedule</w:t>
      </w:r>
      <w:r>
        <w:rPr>
          <w:rFonts w:ascii="Times New Roman" w:hAnsi="Times New Roman"/>
          <w:color w:val="000000"/>
          <w:sz w:val="20"/>
        </w:rPr>
        <w:t>:</w:t>
      </w:r>
    </w:p>
    <w:p>
      <w:pPr>
        <w:pStyle w:val="TextBody"/>
        <w:bidi w:val="0"/>
        <w:spacing w:before="239" w:after="283"/>
        <w:jc w:val="left"/>
        <w:rPr>
          <w:rFonts w:ascii="Times New Roman" w:hAnsi="Times New Roman"/>
          <w:color w:val="000000"/>
          <w:sz w:val="20"/>
        </w:rPr>
      </w:pPr>
      <w:r>
        <w:rPr>
          <w:rFonts w:ascii="Times New Roman" w:hAnsi="Times New Roman"/>
          <w:color w:val="000000"/>
          <w:sz w:val="20"/>
        </w:rPr>
        <w:t>Subject to any acceleration provisions contained in the Plan or set forth below, the Option may be exercised, in whole or in part, in accordance with the following schedule: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[Insert vesting schedule]</w:t>
      </w:r>
    </w:p>
    <w:p>
      <w:pPr>
        <w:pStyle w:val="TextBody"/>
        <w:bidi w:val="0"/>
        <w:spacing w:before="240" w:after="283"/>
        <w:jc w:val="both"/>
        <w:rPr>
          <w:rFonts w:ascii="Times New Roman" w:hAnsi="Times New Roman"/>
          <w:sz w:val="20"/>
        </w:rPr>
      </w:pPr>
      <w:r>
        <w:rPr>
          <w:rFonts w:ascii="Times New Roman" w:hAnsi="Times New Roman"/>
          <w:color w:val="000000"/>
          <w:sz w:val="20"/>
        </w:rPr>
        <w:t>[For example: The Option will vest and become exercisable with respect to [__]% of the Shares subject to the Option as of [] (the “</w:t>
      </w:r>
      <w:r>
        <w:rPr>
          <w:rFonts w:ascii="Times New Roman" w:hAnsi="Times New Roman"/>
          <w:b/>
          <w:i/>
          <w:color w:val="000000"/>
          <w:sz w:val="20"/>
        </w:rPr>
        <w:t>Initial Vesting Date</w:t>
      </w:r>
      <w:r>
        <w:rPr>
          <w:rFonts w:ascii="Times New Roman" w:hAnsi="Times New Roman"/>
          <w:color w:val="000000"/>
          <w:sz w:val="20"/>
        </w:rPr>
        <w:t>”), subject to Participant’s continued service through the Initial Vesting Date, and with respect to [__]% of the Shares subject to the Option will vest and become exercisable in [__] equal monthly installments following each monthly anniversary of the Initial Vesting Date (with the last vesting date on []), subject to Participant’s continued service through the applicable vesting date. Any portion of the Option not vested at the time Participant ceases be a Service Provider shall be forfeited and returned to the Company and the Plan for future award.]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provided in the Plan, in the event of a Change in Control, to the extent provided in Section 13(c)(i) of the Plan the vesting of the Option shall accelerate in the circumstances described in Section 13 of the Plan and the Option will become exercisable in full prior to the consummation of such event in the circumstances described in Section 13(c)(i) of the Plan at such times and on such conditions as the Administrator determines. </w:t>
      </w:r>
    </w:p>
    <w:p>
      <w:pPr>
        <w:pStyle w:val="TextBody"/>
        <w:bidi w:val="0"/>
        <w:spacing w:before="239" w:after="283"/>
        <w:jc w:val="left"/>
        <w:rPr>
          <w:rFonts w:ascii="Times New Roman" w:hAnsi="Times New Roman"/>
          <w:sz w:val="20"/>
        </w:rPr>
      </w:pPr>
      <w:r>
        <w:rPr>
          <w:rFonts w:ascii="Times New Roman" w:hAnsi="Times New Roman"/>
          <w:color w:val="000000"/>
          <w:sz w:val="20"/>
          <w:u w:val="single"/>
        </w:rPr>
        <w:t>Termination/Expiration Date</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The term of the Option shall be ten (10) years from the date of the award, at which time the Option will expire (the “</w:t>
      </w:r>
      <w:r>
        <w:rPr>
          <w:rFonts w:ascii="Times New Roman" w:hAnsi="Times New Roman"/>
          <w:b/>
          <w:i/>
          <w:color w:val="000000"/>
          <w:sz w:val="20"/>
        </w:rPr>
        <w:t>Expiration Date</w:t>
      </w:r>
      <w:r>
        <w:rPr>
          <w:rFonts w:ascii="Times New Roman" w:hAnsi="Times New Roman"/>
          <w:color w:val="000000"/>
          <w:sz w:val="20"/>
        </w:rPr>
        <w:t>”). Subject to the last sentence of this paragraph, the Option will be exercisable, to the extent vested as of the date on which Participant ceases to be a Service Provider, for three (3) months after Participant ceases to be a Service Provider, unless such termination is due to Participant’s death or Disability, in which case this Option will be exercisable, to the extent vested as of the date on which Participant ceases to be a Service Provider, for twelve (12) months after Participant ceases to be a Service Provider (such periods referred to as the “</w:t>
      </w:r>
      <w:r>
        <w:rPr>
          <w:rFonts w:ascii="Times New Roman" w:hAnsi="Times New Roman"/>
          <w:b/>
          <w:i/>
          <w:color w:val="000000"/>
          <w:sz w:val="20"/>
        </w:rPr>
        <w:t>Termination Date</w:t>
      </w:r>
      <w:r>
        <w:rPr>
          <w:rFonts w:ascii="Times New Roman" w:hAnsi="Times New Roman"/>
          <w:color w:val="000000"/>
          <w:sz w:val="20"/>
        </w:rPr>
        <w:t xml:space="preserve">”), and any vested but unexercised portion of the Option that remains outstanding as of the Termination Date shall be forfeited. Notwithstanding anything else in this Award Agreement, the Option is subject to earlier termination as provided in Section 13 of the Plan in connection with a Change in Control. In addition, in no event may the Option be exercised after the earlier to occur of the Expiration Date or Termination Date (as applicable), and this Option may be subject to earlier termination as provided in Section 13 of the Plan.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1" w:after="283"/>
        <w:jc w:val="both"/>
        <w:rPr>
          <w:rFonts w:ascii="Times New Roman" w:hAnsi="Times New Roman"/>
          <w:color w:val="000000"/>
          <w:sz w:val="20"/>
        </w:rPr>
      </w:pPr>
      <w:r>
        <w:rPr>
          <w:rFonts w:ascii="Times New Roman" w:hAnsi="Times New Roman"/>
          <w:color w:val="000000"/>
          <w:sz w:val="20"/>
        </w:rPr>
        <w:t>By Participant’s agreement to this Award Agreement, Participant agrees that the Option is granted under and governed by the terms and conditions of the Plan and this Award Agreement, including the Terms and Conditions of Stock Option Grant (including any country-specific addendum thereto), terms described on Exhibit A and terms described in Participant’s EquiTrax account, all of which are made a part of this document. Participant has reviewed the Plan and this Award Agreement in their entirety, has had an opportunity to obtain the advice of counsel prior to executing this Award Agreement and fully understands all provisions of the Plan and Award Agreement. Participant hereby agrees to accept as binding, conclusive and final all decisions or interpretations of the Administrator upon any questions relating to the Plan and Award Agreement. Participant further agrees to promptly notify the Company in writing upon any change in Participant’s address.</w:t>
      </w:r>
    </w:p>
    <w:p>
      <w:pPr>
        <w:pStyle w:val="TextBody"/>
        <w:bidi w:val="0"/>
        <w:spacing w:before="245" w:after="283"/>
        <w:jc w:val="left"/>
        <w:rPr>
          <w:rFonts w:ascii="Times New Roman" w:hAnsi="Times New Roman"/>
          <w:b/>
          <w:color w:val="000000"/>
          <w:sz w:val="20"/>
        </w:rPr>
      </w:pPr>
      <w:r>
        <w:rPr>
          <w:rFonts w:ascii="Times New Roman" w:hAnsi="Times New Roman"/>
          <w:b/>
          <w:color w:val="000000"/>
          <w:sz w:val="20"/>
        </w:rPr>
        <w:t>PARTICIPANT ARCADIA BIOSCIENCES, INC.</w:t>
      </w:r>
    </w:p>
    <w:p>
      <w:pPr>
        <w:pStyle w:val="TextBody"/>
        <w:bidi w:val="0"/>
        <w:jc w:val="left"/>
        <w:rPr/>
      </w:pPr>
      <w:r>
        <w:rPr/>
        <w:t> </w:t>
      </w:r>
    </w:p>
    <w:p>
      <w:pPr>
        <w:pStyle w:val="TextBody"/>
        <w:bidi w:val="0"/>
        <w:jc w:val="left"/>
        <w:rPr/>
      </w:pPr>
      <w:r>
        <w:rPr/>
        <w:t> </w:t>
      </w:r>
    </w:p>
    <w:p>
      <w:pPr>
        <w:pStyle w:val="TextBody"/>
        <w:bidi w:val="0"/>
        <w:spacing w:before="154" w:after="283"/>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By: _____________________________</w:t>
      </w:r>
    </w:p>
    <w:p>
      <w:pPr>
        <w:pStyle w:val="TextBody"/>
        <w:bidi w:val="0"/>
        <w:jc w:val="left"/>
        <w:rPr>
          <w:rFonts w:ascii="Times New Roman" w:hAnsi="Times New Roman"/>
          <w:color w:val="000000"/>
          <w:sz w:val="20"/>
        </w:rPr>
      </w:pPr>
      <w:r>
        <w:rPr>
          <w:rFonts w:ascii="Times New Roman" w:hAnsi="Times New Roman"/>
          <w:color w:val="000000"/>
          <w:sz w:val="20"/>
        </w:rPr>
        <w:t>Title: ____________________________</w:t>
      </w:r>
    </w:p>
    <w:p>
      <w:pPr>
        <w:pStyle w:val="TextBody"/>
        <w:bidi w:val="0"/>
        <w:spacing w:before="5" w:after="283"/>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Residence Address</w:t>
      </w:r>
      <w:r>
        <w:rPr>
          <w:rFonts w:ascii="Times New Roman" w:hAnsi="Times New Roman"/>
          <w:color w:val="000000"/>
          <w:sz w:val="20"/>
        </w:rPr>
        <w:t>:</w:t>
      </w:r>
    </w:p>
    <w:p>
      <w:pPr>
        <w:pStyle w:val="TextBody"/>
        <w:bidi w:val="0"/>
        <w:spacing w:before="5" w:after="283"/>
        <w:jc w:val="left"/>
        <w:rPr/>
      </w:pPr>
      <w:r>
        <w:rPr/>
        <w:t> </w:t>
      </w:r>
    </w:p>
    <w:p>
      <w:pPr>
        <w:pStyle w:val="TextBody"/>
        <w:bidi w:val="0"/>
        <w:spacing w:before="5" w:after="283"/>
        <w:jc w:val="left"/>
        <w:rPr/>
      </w:pPr>
      <w:r>
        <w:rPr/>
        <w:t> </w:t>
      </w:r>
    </w:p>
    <w:p>
      <w:pPr>
        <w:pStyle w:val="TextBody"/>
        <w:bidi w:val="0"/>
        <w:spacing w:before="5" w:after="283"/>
        <w:jc w:val="left"/>
        <w:rPr/>
      </w:pPr>
      <w:r>
        <w:rPr/>
        <w:t> </w:t>
      </w:r>
    </w:p>
    <w:p>
      <w:pPr>
        <w:pStyle w:val="TextBody"/>
        <w:bidi w:val="0"/>
        <w:spacing w:before="242" w:after="283"/>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Heading2"/>
        <w:bidi w:val="0"/>
        <w:spacing w:before="78" w:after="283"/>
        <w:jc w:val="center"/>
        <w:rPr>
          <w:rFonts w:ascii="Times New Roman" w:hAnsi="Times New Roman"/>
          <w:color w:val="000000"/>
          <w:sz w:val="20"/>
        </w:rPr>
      </w:pPr>
      <w:r>
        <w:rPr>
          <w:rFonts w:ascii="Times New Roman" w:hAnsi="Times New Roman"/>
          <w:color w:val="000000"/>
          <w:sz w:val="20"/>
        </w:rPr>
        <w:t>TERMS AND CONDITIONS OF STOCK OPTION GRANT</w:t>
      </w:r>
    </w:p>
    <w:p>
      <w:pPr>
        <w:pStyle w:val="TextBody"/>
        <w:bidi w:val="0"/>
        <w:spacing w:before="235"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35" w:after="283"/>
        <w:jc w:val="both"/>
        <w:rPr>
          <w:rFonts w:ascii="Times New Roman" w:hAnsi="Times New Roman"/>
          <w:sz w:val="20"/>
        </w:rPr>
      </w:pPr>
      <w:r>
        <w:rPr>
          <w:rFonts w:ascii="Times New Roman" w:hAnsi="Times New Roman"/>
          <w:color w:val="000000"/>
          <w:sz w:val="20"/>
          <w:u w:val="single"/>
        </w:rPr>
        <w:t>Grant of Option</w:t>
      </w:r>
      <w:r>
        <w:rPr>
          <w:rFonts w:ascii="Times New Roman" w:hAnsi="Times New Roman"/>
          <w:color w:val="000000"/>
          <w:sz w:val="20"/>
        </w:rPr>
        <w:t>. The Company has granted to the Participant (the “</w:t>
      </w:r>
      <w:r>
        <w:rPr>
          <w:rFonts w:ascii="Times New Roman" w:hAnsi="Times New Roman"/>
          <w:b/>
          <w:i/>
          <w:color w:val="000000"/>
          <w:sz w:val="20"/>
        </w:rPr>
        <w:t>Participant</w:t>
      </w:r>
      <w:r>
        <w:rPr>
          <w:rFonts w:ascii="Times New Roman" w:hAnsi="Times New Roman"/>
          <w:color w:val="000000"/>
          <w:sz w:val="20"/>
        </w:rPr>
        <w:t>”) an option (the “</w:t>
      </w:r>
      <w:r>
        <w:rPr>
          <w:rFonts w:ascii="Times New Roman" w:hAnsi="Times New Roman"/>
          <w:b/>
          <w:i/>
          <w:color w:val="000000"/>
          <w:sz w:val="20"/>
        </w:rPr>
        <w:t>Option</w:t>
      </w:r>
      <w:r>
        <w:rPr>
          <w:rFonts w:ascii="Times New Roman" w:hAnsi="Times New Roman"/>
          <w:color w:val="000000"/>
          <w:sz w:val="20"/>
        </w:rPr>
        <w:t>”) to purchase that number of Shares set forth on Exhibit A attached hereto and/or in Participant’s EquiTrax account information, at the exercise price per Share indicated therein or on Exhibit A (the “</w:t>
      </w:r>
      <w:r>
        <w:rPr>
          <w:rFonts w:ascii="Times New Roman" w:hAnsi="Times New Roman"/>
          <w:b/>
          <w:i/>
          <w:color w:val="000000"/>
          <w:sz w:val="20"/>
        </w:rPr>
        <w:t>Exercise Price</w:t>
      </w:r>
      <w:r>
        <w:rPr>
          <w:rFonts w:ascii="Times New Roman" w:hAnsi="Times New Roman"/>
          <w:color w:val="000000"/>
          <w:sz w:val="20"/>
        </w:rPr>
        <w:t>”), subject to all of the terms and conditions in this Award Agreement and the Plan, which is incorporated herein by reference. Subject to Section 13 of the Plan, in the event of a conflict between the terms and conditions of the Plan and the terms and conditions of this Award Agreement, the terms and conditions of the Plan will prevail.</w:t>
      </w:r>
    </w:p>
    <w:p>
      <w:pPr>
        <w:pStyle w:val="TextBody"/>
        <w:bidi w:val="0"/>
        <w:spacing w:before="241" w:after="283"/>
        <w:jc w:val="both"/>
        <w:rPr>
          <w:rFonts w:ascii="Times New Roman" w:hAnsi="Times New Roman"/>
          <w:sz w:val="20"/>
        </w:rPr>
      </w:pPr>
      <w:r>
        <w:rPr>
          <w:rFonts w:ascii="Times New Roman" w:hAnsi="Times New Roman"/>
          <w:color w:val="000000"/>
          <w:sz w:val="20"/>
        </w:rPr>
        <w:t>If designated on Exhibit A to this Award Agreement or in your EquiTrax online account as an Incentive Stock Option (“</w:t>
      </w:r>
      <w:r>
        <w:rPr>
          <w:rFonts w:ascii="Times New Roman" w:hAnsi="Times New Roman"/>
          <w:b/>
          <w:i/>
          <w:color w:val="000000"/>
          <w:sz w:val="20"/>
        </w:rPr>
        <w:t>ISO</w:t>
      </w:r>
      <w:r>
        <w:rPr>
          <w:rFonts w:ascii="Times New Roman" w:hAnsi="Times New Roman"/>
          <w:color w:val="000000"/>
          <w:sz w:val="20"/>
        </w:rPr>
        <w:t>”), this Option is intended to qualify as an ISO under Section 422 of the U.S. Internal Revenue Code of 1986, as amended (the “</w:t>
      </w:r>
      <w:r>
        <w:rPr>
          <w:rFonts w:ascii="Times New Roman" w:hAnsi="Times New Roman"/>
          <w:b/>
          <w:i/>
          <w:color w:val="000000"/>
          <w:sz w:val="20"/>
        </w:rPr>
        <w:t>Code</w:t>
      </w:r>
      <w:r>
        <w:rPr>
          <w:rFonts w:ascii="Times New Roman" w:hAnsi="Times New Roman"/>
          <w:color w:val="000000"/>
          <w:sz w:val="20"/>
        </w:rPr>
        <w:t>”). However, if this Option is intended to be an ISO, to the extent that it exceeds the $100,000 rule of Code Section 422(d) it will be treated as a Nonstatutory Stock Option (“</w:t>
      </w:r>
      <w:r>
        <w:rPr>
          <w:rFonts w:ascii="Times New Roman" w:hAnsi="Times New Roman"/>
          <w:b/>
          <w:i/>
          <w:color w:val="000000"/>
          <w:sz w:val="20"/>
        </w:rPr>
        <w:t>NSO</w:t>
      </w:r>
      <w:r>
        <w:rPr>
          <w:rFonts w:ascii="Times New Roman" w:hAnsi="Times New Roman"/>
          <w:color w:val="000000"/>
          <w:sz w:val="20"/>
        </w:rPr>
        <w:t>”). Further, if this Option is intended to be treated as an ISO but for any reason this Option (or portion thereof) will not qualify as an ISO, then, to the extent of such nonqualification, such Option (or portion thereof) shall be regarded as an NSO granted under the Plan. In no event will the Administrator, the Company or any Parent or Subsidiary or any of their respective employees or directors have any liability to Participant (or any other person) due to the failure of the Option to qualify for any reason as an ISO.</w:t>
      </w:r>
    </w:p>
    <w:p>
      <w:pPr>
        <w:pStyle w:val="TextBody"/>
        <w:bidi w:val="0"/>
        <w:spacing w:before="242"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2" w:after="283"/>
        <w:jc w:val="both"/>
        <w:rPr>
          <w:rFonts w:ascii="Times New Roman" w:hAnsi="Times New Roman"/>
          <w:sz w:val="20"/>
        </w:rPr>
      </w:pPr>
      <w:r>
        <w:rPr>
          <w:rFonts w:ascii="Times New Roman" w:hAnsi="Times New Roman"/>
          <w:color w:val="000000"/>
          <w:sz w:val="20"/>
          <w:u w:val="single"/>
        </w:rPr>
        <w:t>Vesting Schedule</w:t>
      </w:r>
      <w:r>
        <w:rPr>
          <w:rFonts w:ascii="Times New Roman" w:hAnsi="Times New Roman"/>
          <w:color w:val="000000"/>
          <w:sz w:val="20"/>
        </w:rPr>
        <w:t>. Except as provided in Section 3, the Option evidenced by this Award Agreement will vest in accordance with the vesting provisions described in the Notice of Stock Option Grant section above. Portions of the Option that are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 Service Provider status will end on the day that notice of termination is provided whether oral or written (whether by the Company or Parent or Subsidiary for any reason or by Participant upon resignation) and will not be extended by any notice period that may be required contractually or under applicable local law. Notwithstanding the foregoing, the Administrator (or any delegate) shall have the sole and absolute discretion to determine when Participant is no longer providing active service for purposes of Service Provider status and participation in the Plan.</w:t>
      </w:r>
    </w:p>
    <w:p>
      <w:pPr>
        <w:pStyle w:val="TextBody"/>
        <w:bidi w:val="0"/>
        <w:spacing w:before="239"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39" w:after="283"/>
        <w:jc w:val="both"/>
        <w:rPr>
          <w:rFonts w:ascii="Times New Roman" w:hAnsi="Times New Roman"/>
          <w:sz w:val="20"/>
        </w:rPr>
      </w:pPr>
      <w:r>
        <w:rPr>
          <w:rFonts w:ascii="Times New Roman" w:hAnsi="Times New Roman"/>
          <w:color w:val="000000"/>
          <w:sz w:val="20"/>
          <w:u w:val="single"/>
        </w:rPr>
        <w:t>Administrator Discretion</w:t>
      </w:r>
      <w:r>
        <w:rPr>
          <w:rFonts w:ascii="Times New Roman" w:hAnsi="Times New Roman"/>
          <w:color w:val="000000"/>
          <w:sz w:val="20"/>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pStyle w:val="TextBody"/>
        <w:bidi w:val="0"/>
        <w:spacing w:before="241"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1" w:after="283"/>
        <w:jc w:val="left"/>
        <w:rPr>
          <w:rFonts w:ascii="Times New Roman" w:hAnsi="Times New Roman"/>
          <w:color w:val="000000"/>
          <w:sz w:val="20"/>
          <w:u w:val="single"/>
        </w:rPr>
      </w:pPr>
      <w:r>
        <w:rPr>
          <w:rFonts w:ascii="Times New Roman" w:hAnsi="Times New Roman"/>
          <w:color w:val="000000"/>
          <w:sz w:val="20"/>
          <w:u w:val="single"/>
        </w:rPr>
        <w:t>Exercise of Option.</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39" w:after="283"/>
        <w:jc w:val="both"/>
        <w:rPr>
          <w:rFonts w:ascii="Times New Roman" w:hAnsi="Times New Roman"/>
          <w:sz w:val="20"/>
        </w:rPr>
      </w:pPr>
      <w:r>
        <w:rPr>
          <w:rFonts w:ascii="Times New Roman" w:hAnsi="Times New Roman"/>
          <w:color w:val="000000"/>
          <w:sz w:val="20"/>
          <w:u w:val="single"/>
        </w:rPr>
        <w:t>Right to Exercise</w:t>
      </w:r>
      <w:r>
        <w:rPr>
          <w:rFonts w:ascii="Times New Roman" w:hAnsi="Times New Roman"/>
          <w:color w:val="000000"/>
          <w:sz w:val="20"/>
        </w:rPr>
        <w:t>. The Option may be exercised only within the term set out in the Notice of Grant, and may be exercised during such term only in accordance with the Plan and the terms of this Award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Methods of Exercise</w:t>
      </w:r>
      <w:r>
        <w:rPr>
          <w:rFonts w:ascii="Times New Roman" w:hAnsi="Times New Roman"/>
          <w:color w:val="000000"/>
          <w:sz w:val="20"/>
        </w:rPr>
        <w:t>. The Option is exercisable by delivery of an exercise notice in the form of Exhibit B hereto or such other form as the Administrator may determine (the “</w:t>
      </w:r>
      <w:r>
        <w:rPr>
          <w:rFonts w:ascii="Times New Roman" w:hAnsi="Times New Roman"/>
          <w:b/>
          <w:i/>
          <w:color w:val="000000"/>
          <w:sz w:val="20"/>
        </w:rPr>
        <w:t>Exercise Notice</w:t>
      </w:r>
      <w:r>
        <w:rPr>
          <w:rFonts w:ascii="Times New Roman" w:hAnsi="Times New Roman"/>
          <w:color w:val="000000"/>
          <w:sz w:val="20"/>
        </w:rPr>
        <w:t>”), or in a manner and pursuant to such procedures as the Administrator may determine (including by means of EquiTrax procedures), which will state the election to exercise the Option, the number of Shares in respect of which the Option is being exercised (the “</w:t>
      </w:r>
      <w:r>
        <w:rPr>
          <w:rFonts w:ascii="Times New Roman" w:hAnsi="Times New Roman"/>
          <w:b/>
          <w:i/>
          <w:color w:val="000000"/>
          <w:sz w:val="20"/>
        </w:rPr>
        <w:t>Exercised Shares</w:t>
      </w:r>
      <w:r>
        <w:rPr>
          <w:rFonts w:ascii="Times New Roman" w:hAnsi="Times New Roman"/>
          <w:color w:val="000000"/>
          <w:sz w:val="20"/>
        </w:rPr>
        <w:t>”), and such other representations and agreements as may be required by the Company pursuant to the provisions of the Plan. If not exercised by means of the EquiTrax platform, the Exercise Notice will be completed by Participant and delivered to the Company, and will be accompanied by payment of the aggregate Exercise Price as to all Exercised Shares together with any applicable tax withholding. The Option will be deemed to be exercised upon receipt by the Company of such fully executed Exercise Notice accompanied by such aggregate Exercise Price, or at such time as the Option is exercised by means of the EquiTrax platform. The Option may also be exercised by means of the procedures provided for on the EquiTrax platform. The EquiTrax platform allows you to input different transactions, such as: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color w:val="000000"/>
        </w:rPr>
      </w:pPr>
      <w:r>
        <w:rPr>
          <w:color w:val="000000"/>
        </w:rPr>
        <w:t>“</w:t>
      </w:r>
      <w:r>
        <w:rPr>
          <w:rFonts w:ascii="Times New Roman" w:hAnsi="Times New Roman"/>
          <w:color w:val="000000"/>
          <w:sz w:val="20"/>
        </w:rPr>
        <w:t>Cashless Exercise,” whereby you exercise your vested options, sell exercised shares and receive the proceeds, net of option costs and applicable taxes, by check or direct deposit; or</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1" w:after="283"/>
        <w:jc w:val="both"/>
        <w:rPr>
          <w:color w:val="000000"/>
        </w:rPr>
      </w:pPr>
      <w:r>
        <w:rPr>
          <w:color w:val="000000"/>
        </w:rPr>
        <w:t>“</w:t>
      </w:r>
      <w:r>
        <w:rPr>
          <w:rFonts w:ascii="Times New Roman" w:hAnsi="Times New Roman"/>
          <w:color w:val="000000"/>
          <w:sz w:val="20"/>
        </w:rPr>
        <w:t>Sell to Cover,” whereby you sell only enough of the vested options to cover the costs for all the option shares and applicable taxes, and receive the balance of shares in an account of your choosing, or</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left"/>
        <w:rPr>
          <w:color w:val="000000"/>
        </w:rPr>
      </w:pPr>
      <w:r>
        <w:rPr>
          <w:color w:val="000000"/>
        </w:rPr>
        <w:t>“</w:t>
      </w:r>
      <w:r>
        <w:rPr>
          <w:rFonts w:ascii="Times New Roman" w:hAnsi="Times New Roman"/>
          <w:color w:val="000000"/>
          <w:sz w:val="20"/>
        </w:rPr>
        <w:t>Cash,” whereby vested options are exercised by remitting payment for the option costs and applicable taxes and shares are received in an account of your choosing.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Method of Payment</w:t>
      </w:r>
      <w:r>
        <w:rPr>
          <w:rFonts w:ascii="Times New Roman" w:hAnsi="Times New Roman"/>
          <w:color w:val="000000"/>
          <w:sz w:val="20"/>
        </w:rPr>
        <w:t>. Payment of the aggregate Exercise Price will be by any of the following, or a combination thereof, at the election of Participant unless the Administrator in its sole discretion (including by means of Equiniti) requires a specific method of payment: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(U.S. dollars); or</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39" w:after="283"/>
        <w:jc w:val="left"/>
        <w:rPr>
          <w:rFonts w:ascii="Times New Roman" w:hAnsi="Times New Roman"/>
          <w:color w:val="000000"/>
          <w:sz w:val="20"/>
        </w:rPr>
      </w:pPr>
      <w:r>
        <w:rPr>
          <w:rFonts w:ascii="Times New Roman" w:hAnsi="Times New Roman"/>
          <w:color w:val="000000"/>
          <w:sz w:val="20"/>
        </w:rPr>
        <w:t>check (denominated in U.S. dollars); or</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(c)</w:t>
      </w:r>
    </w:p>
    <w:p>
      <w:pPr>
        <w:pStyle w:val="TextBody"/>
        <w:bidi w:val="0"/>
        <w:spacing w:before="241" w:after="283"/>
        <w:jc w:val="left"/>
        <w:rPr>
          <w:rFonts w:ascii="Times New Roman" w:hAnsi="Times New Roman"/>
          <w:color w:val="000000"/>
          <w:sz w:val="20"/>
        </w:rPr>
      </w:pPr>
      <w:r>
        <w:rPr>
          <w:rFonts w:ascii="Times New Roman" w:hAnsi="Times New Roman"/>
          <w:color w:val="000000"/>
          <w:sz w:val="20"/>
        </w:rPr>
        <w:t>wire transfer (contact Equiniti or the Company, as applicable, for wire instructions); or</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(d)</w:t>
      </w:r>
    </w:p>
    <w:p>
      <w:pPr>
        <w:pStyle w:val="TextBody"/>
        <w:bidi w:val="0"/>
        <w:spacing w:before="241" w:after="283"/>
        <w:jc w:val="left"/>
        <w:rPr>
          <w:rFonts w:ascii="Times New Roman" w:hAnsi="Times New Roman"/>
          <w:color w:val="000000"/>
          <w:sz w:val="20"/>
        </w:rPr>
      </w:pPr>
      <w:r>
        <w:rPr>
          <w:rFonts w:ascii="Times New Roman" w:hAnsi="Times New Roman"/>
          <w:color w:val="000000"/>
          <w:sz w:val="20"/>
        </w:rPr>
        <w:t>consideration received by the Company under a formal cashless exercise program adopted by the Company in connection with the Plan; or</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(e)</w:t>
      </w:r>
    </w:p>
    <w:p>
      <w:pPr>
        <w:pStyle w:val="TextBody"/>
        <w:bidi w:val="0"/>
        <w:spacing w:before="241" w:after="283"/>
        <w:jc w:val="left"/>
        <w:rPr>
          <w:rFonts w:ascii="Times New Roman" w:hAnsi="Times New Roman"/>
          <w:color w:val="000000"/>
          <w:sz w:val="20"/>
        </w:rPr>
      </w:pPr>
      <w:r>
        <w:rPr>
          <w:rFonts w:ascii="Times New Roman" w:hAnsi="Times New Roman"/>
          <w:color w:val="000000"/>
          <w:sz w:val="20"/>
        </w:rPr>
        <w:t>if the Administrator approves, surrender of other shares of Common Stock owned by Participant that have a Fair Market Value on the date of surrender equal to the aggregate Exercise Price of the Exercised Shares, provided that accepting such Shares, in the sole discretion of the Administrator, will not result in any adverse accounting consequences to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Participant understands and agrees that any cross-border remittance made to exercise the Option or transfer proceeds received upon the sale of Shares must be made through a locally authorized financial institution or registered foreign exchange agency and may require the Participant to provide such entity with certain information regarding the transaction.</w:t>
      </w:r>
    </w:p>
    <w:p>
      <w:pPr>
        <w:pStyle w:val="TextBody"/>
        <w:bidi w:val="0"/>
        <w:spacing w:before="241"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241" w:after="283"/>
        <w:jc w:val="left"/>
        <w:rPr>
          <w:rFonts w:ascii="Times New Roman" w:hAnsi="Times New Roman"/>
          <w:color w:val="000000"/>
          <w:sz w:val="20"/>
          <w:u w:val="single"/>
        </w:rPr>
      </w:pPr>
      <w:r>
        <w:rPr>
          <w:rFonts w:ascii="Times New Roman" w:hAnsi="Times New Roman"/>
          <w:color w:val="000000"/>
          <w:sz w:val="20"/>
          <w:u w:val="single"/>
        </w:rPr>
        <w:t>Tax Obligations.</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39" w:after="283"/>
        <w:jc w:val="both"/>
        <w:rPr>
          <w:rFonts w:ascii="Times New Roman" w:hAnsi="Times New Roman"/>
          <w:sz w:val="20"/>
        </w:rPr>
      </w:pPr>
      <w:r>
        <w:rPr>
          <w:rFonts w:ascii="Times New Roman" w:hAnsi="Times New Roman"/>
          <w:color w:val="000000"/>
          <w:sz w:val="20"/>
          <w:u w:val="single"/>
        </w:rPr>
        <w:t>Withholding Taxes.</w:t>
      </w:r>
      <w:r>
        <w:rPr>
          <w:rFonts w:ascii="Times New Roman" w:hAnsi="Times New Roman"/>
          <w:color w:val="000000"/>
          <w:sz w:val="20"/>
        </w:rPr>
        <w:t xml:space="preserve"> Regardless of any action the Company or Participant’s employer (the “</w:t>
      </w:r>
      <w:r>
        <w:rPr>
          <w:rFonts w:ascii="Times New Roman" w:hAnsi="Times New Roman"/>
          <w:b/>
          <w:i/>
          <w:color w:val="000000"/>
          <w:sz w:val="20"/>
        </w:rPr>
        <w:t>Employer</w:t>
      </w:r>
      <w:r>
        <w:rPr>
          <w:rFonts w:ascii="Times New Roman" w:hAnsi="Times New Roman"/>
          <w:color w:val="000000"/>
          <w:sz w:val="20"/>
        </w:rPr>
        <w:t>”) takes with respect to any or all applicable national, local, or other tax or social contribution, withholding, required deductions, or other payments, if any, that arise upon the grant, vesting, or exercise of the Option, the holding or subsequent sale of Shares, and the receipt of dividends, if any (“</w:t>
      </w:r>
      <w:r>
        <w:rPr>
          <w:rFonts w:ascii="Times New Roman" w:hAnsi="Times New Roman"/>
          <w:b/>
          <w:i/>
          <w:color w:val="000000"/>
          <w:sz w:val="20"/>
        </w:rPr>
        <w:t>Tax-Related Items</w:t>
      </w:r>
      <w:r>
        <w:rPr>
          <w:rFonts w:ascii="Times New Roman" w:hAnsi="Times New Roman"/>
          <w:color w:val="000000"/>
          <w:sz w:val="20"/>
        </w:rPr>
        <w:t>”), Participant acknowledges and agrees that the ultimate liability for all Tax-Related Items legally due by Participant is and remains Participant’s responsibility. Participant further acknowledges that each of the Company, the Employer, and/or Equiniti (or its affiliates) (a) makes no representations or undertakings regarding the treatment of any Tax-Related Items in connection with any aspect of the Option, including the grant, vesting, or exercise of the Option, the subsequent sale of Shares acquired under the Plan and the receipt of dividends, if any; and (b) does not commit to and is under no obligation to structure the terms of the Option or any aspect of the Option to reduce or eliminate Participant’s liability for Tax-Related Items, or achieve any particular tax result. Further, if Participant has become subject to tax in more than one jurisdiction between the date of grant and the date of any relevant taxable event, Participant acknowledges that the Company, the Employer (or former employer, as applicable), or Equiniti may be required to withhold or account for Tax-Related Items in more than one jurisdiction.</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39" w:after="283"/>
        <w:jc w:val="both"/>
        <w:rPr>
          <w:rFonts w:ascii="Times New Roman" w:hAnsi="Times New Roman"/>
          <w:color w:val="000000"/>
          <w:sz w:val="20"/>
        </w:rPr>
      </w:pPr>
      <w:r>
        <w:rPr>
          <w:rFonts w:ascii="Times New Roman" w:hAnsi="Times New Roman"/>
          <w:color w:val="000000"/>
          <w:sz w:val="20"/>
        </w:rPr>
        <w:t>No payment will be made to Participant (or his or her estate or beneficiary) for an Option unless and until satisfactory arrangements (as determined by the Administrator or the Company) have been made by Participant with respect to the payment by the Company, the Employer, or Equiniti of any Tax-Related Items with respect to the Option. In this regard, Participant authorizes the Company, the Employer, or Equiniti, or their respective agents, at their discretion, to satisfy the obligations with regard to all Tax-Related Items by one or a combination of the following: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withholding from Participant’s wages or other cash compensation paid to Participant by the Company or the Employer; 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 withholding from proceeds of the sale of Shares acquired upon exercise of the Option, either through a voluntary sale or through a mandatory sale arranged by the Company (on Participant’s behalf pursuant to this authorization); 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 withholding of Shares to be issued upon exercise of the Option; or</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(iv) surrendering already-owned Shares having a Fair Market Value equal to the Tax-Related Items that have been held for such period of time to avoid adverse accounting consequences.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the obligation for Tax-Related Items is satisfied by withholding Shares, the Participant is deemed to have been issued the full number of Shares purchased for tax purposes, notwithstanding that a number of the Shares is held back solely for the purpose of paying the Tax-Related Items due as a result of the Participant’s participation in the Plan. Participant shall pay to the Company, the Employer, or Equiniti any amount of Tax-Related Items that the Company may be required to withhold as a result of Participant’s participation in the Plan that cannot be satisfied by one or more of the means previously described in this Section. Participant acknowledges and agrees that the Company may refuse to honor the exercise and refuse to issue or deliver the Shares or the proceeds of the sale of Shares if Participant fails to comply with his or her obligations in connection with the Tax-Related Items.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Notice of Disqualifying Disposition of ISO Shares</w:t>
      </w:r>
      <w:r>
        <w:rPr>
          <w:rFonts w:ascii="Times New Roman" w:hAnsi="Times New Roman"/>
          <w:color w:val="000000"/>
          <w:sz w:val="20"/>
        </w:rPr>
        <w:t>. If the Option granted to Participant herein is an ISO, and if Participant sells or otherwise disposes of any of the Shares acquired pursuant to the ISO on or before the later of (i) the date two (2) years after the Grant Date, or (ii) the date one (1) year after the date of exercise, Participant will immediately notify the Company in writing of such disposition. Participant agrees that Participant may be subject to income tax withholding by the Company on the compensation income recognized by Participant.</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1" w:after="283"/>
        <w:jc w:val="both"/>
        <w:rPr>
          <w:rFonts w:ascii="Times New Roman" w:hAnsi="Times New Roman"/>
          <w:sz w:val="20"/>
        </w:rPr>
      </w:pPr>
      <w:r>
        <w:rPr>
          <w:rFonts w:ascii="Times New Roman" w:hAnsi="Times New Roman"/>
          <w:color w:val="000000"/>
          <w:sz w:val="20"/>
          <w:u w:val="single"/>
        </w:rPr>
        <w:t>Code Section 409A (Applicable Only to Participants Subject to U.S. Taxes)</w:t>
      </w:r>
      <w:r>
        <w:rPr>
          <w:rFonts w:ascii="Times New Roman" w:hAnsi="Times New Roman"/>
          <w:color w:val="000000"/>
          <w:sz w:val="20"/>
        </w:rPr>
        <w:t>. Under Code Section 409A, an option that vests after December 31, 2004 (or that vested on or prior to such date but which was materially modified after October 3, 2004) that was granted with a per Share exercise price that is determined by the Internal Revenue Service (the “</w:t>
      </w:r>
      <w:r>
        <w:rPr>
          <w:rFonts w:ascii="Times New Roman" w:hAnsi="Times New Roman"/>
          <w:b/>
          <w:i/>
          <w:color w:val="000000"/>
          <w:sz w:val="20"/>
        </w:rPr>
        <w:t>IRS</w:t>
      </w:r>
      <w:r>
        <w:rPr>
          <w:rFonts w:ascii="Times New Roman" w:hAnsi="Times New Roman"/>
          <w:color w:val="000000"/>
          <w:sz w:val="20"/>
        </w:rPr>
        <w:t>”) to be less than the Fair Market Value of a Share on the date of grant (a “</w:t>
      </w:r>
      <w:r>
        <w:rPr>
          <w:rFonts w:ascii="Times New Roman" w:hAnsi="Times New Roman"/>
          <w:b/>
          <w:i/>
          <w:color w:val="000000"/>
          <w:sz w:val="20"/>
        </w:rPr>
        <w:t>Discount Option</w:t>
      </w:r>
      <w:r>
        <w:rPr>
          <w:rFonts w:ascii="Times New Roman" w:hAnsi="Times New Roman"/>
          <w:color w:val="000000"/>
          <w:sz w:val="20"/>
        </w:rPr>
        <w:t>”) may be considered “deferred compensation.” A Discount Option may result in (i) income recognition by Participant prior to the exercise of the option, (ii) an additional twenty percent (20%) federal income tax, and (iii) potential penalty and interest charges. The Discount Option may also result in additional state income, penalty and interest charges to the Participant.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will be solely responsible for Participant’s costs related to such a determination.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7.</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Rights as Stockholder</w:t>
      </w:r>
      <w:r>
        <w:rPr>
          <w:rFonts w:ascii="Times New Roman" w:hAnsi="Times New Roman"/>
          <w:color w:val="000000"/>
          <w:sz w:val="20"/>
        </w:rPr>
        <w:t>. Neither Participant nor any person claiming under or through Participant will have any of the rights or privileges of a stockholder of the Company in respect of any Shares until such Shares will have been issued (as evidenced by the appropriate entry on the books of the Company or of a duly authorized transfer agent of the Company). After such issuance, Participant will have all the rights of a stockholder of the Company with respect to voting such Shares and receipt of dividends and distributions on such Shares, but prior to such issuance, Participant will not have any rights to dividends and/or distributions on such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8.</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No Guarantee of Continued Service</w:t>
      </w:r>
      <w:r>
        <w:rPr>
          <w:rFonts w:ascii="Times New Roman" w:hAnsi="Times New Roman"/>
          <w:color w:val="000000"/>
          <w:sz w:val="20"/>
        </w:rPr>
        <w:t>. PARTICIPANT ACKNOWLEDGES AND AGREES THAT THE VESTING OF THE OPTION PURSUANT TO THE VESTING SCHEDULE HEREOF IS EARNED ONLY BY CONTINUING AS A SERVICE PROVIDER, AT THE WILL OF THE COMPANY AND NOT THROUGH THE ACT OF BEING HIRED, BEING GRANTED THE OPTION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TO TERMINATE PARTICIPANT’S RELATIONSHIP AS A SERVICE PROVIDER AT ANY TIME, WITH OR WITHOUT CAUSE (SUBJECT TO APPLICABLE LOCAL LAWS).</w:t>
      </w:r>
    </w:p>
    <w:p>
      <w:pPr>
        <w:pStyle w:val="TextBody"/>
        <w:bidi w:val="0"/>
        <w:spacing w:before="241"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241" w:after="283"/>
        <w:jc w:val="left"/>
        <w:rPr>
          <w:rFonts w:ascii="Times New Roman" w:hAnsi="Times New Roman"/>
          <w:sz w:val="20"/>
        </w:rPr>
      </w:pPr>
      <w:r>
        <w:rPr>
          <w:rFonts w:ascii="Times New Roman" w:hAnsi="Times New Roman"/>
          <w:color w:val="000000"/>
          <w:sz w:val="20"/>
          <w:u w:val="single"/>
        </w:rPr>
        <w:t>Nature of Grant</w:t>
      </w:r>
      <w:r>
        <w:rPr>
          <w:rFonts w:ascii="Times New Roman" w:hAnsi="Times New Roman"/>
          <w:color w:val="000000"/>
          <w:sz w:val="20"/>
        </w:rPr>
        <w:t>. In accepting the Option, Participant acknowledges that: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39" w:after="283"/>
        <w:jc w:val="both"/>
        <w:rPr>
          <w:rFonts w:ascii="Times New Roman" w:hAnsi="Times New Roman"/>
          <w:color w:val="000000"/>
          <w:sz w:val="20"/>
        </w:rPr>
      </w:pPr>
      <w:r>
        <w:rPr>
          <w:rFonts w:ascii="Times New Roman" w:hAnsi="Times New Roman"/>
          <w:color w:val="000000"/>
          <w:sz w:val="20"/>
        </w:rPr>
        <w:t>the Plan is established voluntarily by the Company, it is discretionary in nature and it may be modified, amended, suspended or terminated by the Company at any time;</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1" w:after="283"/>
        <w:jc w:val="both"/>
        <w:rPr>
          <w:rFonts w:ascii="Times New Roman" w:hAnsi="Times New Roman"/>
          <w:color w:val="000000"/>
          <w:sz w:val="20"/>
        </w:rPr>
      </w:pPr>
      <w:r>
        <w:rPr>
          <w:rFonts w:ascii="Times New Roman" w:hAnsi="Times New Roman"/>
          <w:color w:val="000000"/>
          <w:sz w:val="20"/>
        </w:rPr>
        <w:t>the grant of the Option is voluntary and occasional and does not create any contractual or other right to receive future grants of Options, or benefits in lieu of Options even if Options have been granted repeatedly in the past;</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39" w:after="283"/>
        <w:jc w:val="both"/>
        <w:rPr>
          <w:rFonts w:ascii="Times New Roman" w:hAnsi="Times New Roman"/>
          <w:color w:val="000000"/>
          <w:sz w:val="20"/>
        </w:rPr>
      </w:pPr>
      <w:r>
        <w:rPr>
          <w:rFonts w:ascii="Times New Roman" w:hAnsi="Times New Roman"/>
          <w:color w:val="000000"/>
          <w:sz w:val="20"/>
        </w:rPr>
        <w:t>all decisions with respect to future awards of Options, if any, will be at the sole discretion of the Company;</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(d)</w:t>
      </w:r>
    </w:p>
    <w:p>
      <w:pPr>
        <w:pStyle w:val="TextBody"/>
        <w:bidi w:val="0"/>
        <w:spacing w:before="241" w:after="283"/>
        <w:jc w:val="left"/>
        <w:rPr>
          <w:rFonts w:ascii="Times New Roman" w:hAnsi="Times New Roman"/>
          <w:color w:val="000000"/>
          <w:sz w:val="20"/>
        </w:rPr>
      </w:pPr>
      <w:r>
        <w:rPr>
          <w:rFonts w:ascii="Times New Roman" w:hAnsi="Times New Roman"/>
          <w:color w:val="000000"/>
          <w:sz w:val="20"/>
        </w:rPr>
        <w:t>Participant’s participation in the Plan is voluntary;</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39" w:after="283"/>
        <w:jc w:val="both"/>
        <w:rPr>
          <w:rFonts w:ascii="Times New Roman" w:hAnsi="Times New Roman"/>
          <w:color w:val="000000"/>
          <w:sz w:val="20"/>
        </w:rPr>
      </w:pPr>
      <w:r>
        <w:rPr>
          <w:rFonts w:ascii="Times New Roman" w:hAnsi="Times New Roman"/>
          <w:color w:val="000000"/>
          <w:sz w:val="20"/>
        </w:rPr>
        <w:t>the Option and the Shares subject to the Option are extraordinary items that do not constitute regular compensation for services rendered to the Company;</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1" w:after="283"/>
        <w:jc w:val="both"/>
        <w:rPr>
          <w:rFonts w:ascii="Times New Roman" w:hAnsi="Times New Roman"/>
          <w:color w:val="000000"/>
          <w:sz w:val="20"/>
        </w:rPr>
      </w:pPr>
      <w:r>
        <w:rPr>
          <w:rFonts w:ascii="Times New Roman" w:hAnsi="Times New Roman"/>
          <w:color w:val="000000"/>
          <w:sz w:val="20"/>
        </w:rPr>
        <w:t>the Option and the Shares subject to the Option are not intended to replace any pension rights or compensation;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Option and the Shares subject to the Option are not part of normal or expected compensation or salary for any purposes, including, but not limited to, calculating any severance, resignation, termination, redundancy, dismissal, or end of service payments, bonuses, long-service awards, pension or retirement or welfare benefits or similar payments and in no event should be considered as compensation for, or relating in any way to, past services for the Company;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future value of the underlying Shares is unknown and cannot be predicted with certainty; further, if Participant exercises the Option and obtains Shares, the value of the Shares acquired upon exercise may increase or decrease in value, even below the Exercise Price;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Participant also understands that neither the Company, nor any affiliate is responsible for any foreign exchange fluctuation between local currency and the United States Dollar or the selection by the Company or any affiliate in its sole discretion of an applicable foreign currency exchange rate that may affect the value of the Option (or the calculation of income or Tax-Related Items thereunder);</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(j)</w:t>
      </w:r>
    </w:p>
    <w:p>
      <w:pPr>
        <w:pStyle w:val="TextBody"/>
        <w:bidi w:val="0"/>
        <w:spacing w:before="239" w:after="283"/>
        <w:jc w:val="left"/>
        <w:rPr>
          <w:rFonts w:ascii="Times New Roman" w:hAnsi="Times New Roman"/>
          <w:color w:val="000000"/>
          <w:sz w:val="20"/>
        </w:rPr>
      </w:pPr>
      <w:r>
        <w:rPr>
          <w:rFonts w:ascii="Times New Roman" w:hAnsi="Times New Roman"/>
          <w:color w:val="000000"/>
          <w:sz w:val="20"/>
        </w:rPr>
        <w:t>in consideration of the grant of the Option, no claim or entitlement to compensation or damages shall arise from forfeiture of the Option resulting from termination of employment by the Employer (for any reason whatsoever and whether or not in breach of local labor laws), and Participant irrevocably releases the Employer from any such claim that may arise; if, notwithstanding the foregoing, any such claim is found by a court of competent jurisdiction to have arisen, Participant shall be deemed irrevocably to have waived his or her entitlement to pursue such claim; and</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(k)</w:t>
      </w:r>
    </w:p>
    <w:p>
      <w:pPr>
        <w:pStyle w:val="TextBody"/>
        <w:bidi w:val="0"/>
        <w:spacing w:before="239" w:after="283"/>
        <w:jc w:val="left"/>
        <w:rPr>
          <w:rFonts w:ascii="Times New Roman" w:hAnsi="Times New Roman"/>
          <w:color w:val="000000"/>
          <w:sz w:val="20"/>
        </w:rPr>
      </w:pPr>
      <w:r>
        <w:rPr>
          <w:rFonts w:ascii="Times New Roman" w:hAnsi="Times New Roman"/>
          <w:color w:val="000000"/>
          <w:sz w:val="20"/>
        </w:rPr>
        <w:t>the Option and the benefits under the Plan, if any, will not automatically transfer to another company in the case of a merger, take-over or transfer of liability.</w:t>
      </w:r>
    </w:p>
    <w:p>
      <w:pPr>
        <w:pStyle w:val="TextBody"/>
        <w:bidi w:val="0"/>
        <w:spacing w:before="241" w:after="283"/>
        <w:jc w:val="both"/>
        <w:rPr>
          <w:rFonts w:ascii="Times New Roman" w:hAnsi="Times New Roman"/>
          <w:color w:val="000000"/>
          <w:sz w:val="20"/>
        </w:rPr>
      </w:pPr>
      <w:r>
        <w:rPr>
          <w:rFonts w:ascii="Times New Roman" w:hAnsi="Times New Roman"/>
          <w:color w:val="000000"/>
          <w:sz w:val="20"/>
        </w:rPr>
        <w:t>10.</w:t>
      </w:r>
    </w:p>
    <w:p>
      <w:pPr>
        <w:pStyle w:val="TextBody"/>
        <w:bidi w:val="0"/>
        <w:spacing w:before="241" w:after="283"/>
        <w:jc w:val="both"/>
        <w:rPr>
          <w:rFonts w:ascii="Times New Roman" w:hAnsi="Times New Roman"/>
          <w:sz w:val="20"/>
        </w:rPr>
      </w:pPr>
      <w:r>
        <w:rPr>
          <w:rFonts w:ascii="Times New Roman" w:hAnsi="Times New Roman"/>
          <w:color w:val="000000"/>
          <w:sz w:val="20"/>
          <w:u w:val="single"/>
        </w:rPr>
        <w:t>No Advice Regarding Grant</w:t>
      </w:r>
      <w:r>
        <w:rPr>
          <w:rFonts w:ascii="Times New Roman" w:hAnsi="Times New Roman"/>
          <w:color w:val="000000"/>
          <w:sz w:val="20"/>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Participant’s participation in the Plan before taking any action related to the Plan.</w:t>
      </w:r>
    </w:p>
    <w:p>
      <w:pPr>
        <w:pStyle w:val="TextBody"/>
        <w:bidi w:val="0"/>
        <w:spacing w:before="245" w:after="283"/>
        <w:jc w:val="both"/>
        <w:rPr>
          <w:rFonts w:ascii="Times New Roman" w:hAnsi="Times New Roman"/>
          <w:color w:val="000000"/>
          <w:sz w:val="20"/>
        </w:rPr>
      </w:pPr>
      <w:r>
        <w:rPr>
          <w:rFonts w:ascii="Times New Roman" w:hAnsi="Times New Roman"/>
          <w:color w:val="000000"/>
          <w:sz w:val="20"/>
        </w:rPr>
        <w:t>11.</w:t>
      </w:r>
    </w:p>
    <w:p>
      <w:pPr>
        <w:pStyle w:val="TextBody"/>
        <w:bidi w:val="0"/>
        <w:spacing w:before="245" w:after="283"/>
        <w:jc w:val="both"/>
        <w:rPr>
          <w:rFonts w:ascii="Times New Roman" w:hAnsi="Times New Roman"/>
          <w:sz w:val="20"/>
        </w:rPr>
      </w:pPr>
      <w:r>
        <w:rPr>
          <w:rFonts w:ascii="Times New Roman" w:hAnsi="Times New Roman"/>
          <w:b/>
          <w:i/>
          <w:color w:val="000000"/>
          <w:sz w:val="20"/>
          <w:u w:val="single"/>
        </w:rPr>
        <w:t>Data Privacy</w:t>
      </w:r>
      <w:r>
        <w:rPr>
          <w:rFonts w:ascii="Times New Roman" w:hAnsi="Times New Roman"/>
          <w:b/>
          <w:i/>
          <w:color w:val="000000"/>
          <w:sz w:val="20"/>
        </w:rPr>
        <w:t>. Participant hereby explicitly and unambiguously consents to the collection, use and transfer, in electronic or other form, of Participant’s personal data as described in this Award Agreement by and among, as applicable, the Company and its affiliates for the exclusive purpose of implementing, administering and managing Participant’s participation in the Plan.</w:t>
      </w:r>
    </w:p>
    <w:p>
      <w:pPr>
        <w:pStyle w:val="TextBody"/>
        <w:bidi w:val="0"/>
        <w:spacing w:before="241" w:after="283"/>
        <w:jc w:val="both"/>
        <w:rPr>
          <w:rFonts w:ascii="Times New Roman" w:hAnsi="Times New Roman"/>
          <w:b/>
          <w:i/>
          <w:color w:val="000000"/>
          <w:sz w:val="20"/>
        </w:rPr>
      </w:pPr>
      <w:r>
        <w:rPr>
          <w:rFonts w:ascii="Times New Roman" w:hAnsi="Times New Roman"/>
          <w:b/>
          <w:i/>
          <w:color w:val="000000"/>
          <w:sz w:val="20"/>
        </w:rPr>
        <w:t>Participant understands that the Company and its affiliates may hold certain personal information about Participant, including, but not limited to, Participant’s name, home address and telephone number, date of birth, social insurance number or other identification number, salary, nationality, job title, any shares of stock or directorships held in the Company or any affiliate, details of all Options or any other entitlement to shares of stock awarded, canceled, exercised, vested, unvested or outstanding in Participant’s favor, for the exclusive purpose of implementing, administering and managing the Plan (“Personal Data”). Participant understands that Personal Data may be transferred to any third parties assisting in the implementation, administration and management of the Plan, that these recipients may be located in the United States, Participant’s country (if different than the United States), or elsewhere, and that the recipient’s country may have different data privacy laws and protections than Participant’s country.</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39" w:after="283"/>
        <w:jc w:val="both"/>
        <w:rPr>
          <w:rFonts w:ascii="Times New Roman" w:hAnsi="Times New Roman"/>
          <w:b/>
          <w:i/>
          <w:color w:val="000000"/>
          <w:sz w:val="20"/>
        </w:rPr>
      </w:pPr>
      <w:r>
        <w:rPr>
          <w:rFonts w:ascii="Times New Roman" w:hAnsi="Times New Roman"/>
          <w:b/>
          <w:i/>
          <w:color w:val="000000"/>
          <w:sz w:val="20"/>
        </w:rPr>
        <w:t>For Participants located in the European Union, the following paragraph applies: Participant understands that he or she may request a list with the names and addresses of any potential recipients of the Personal Data by contacting Participant’s local human resources representative. Participant authorizes the recipients to receive, possess, use, retain and transfer the Personal Data, in electronic or other form, for the purposes of implementing, administering and managing Participant’s participation in the Plan, including any requisite transfer of such Personal Data as may be required to a broker or other third party with whom Participant may elect to deposit any Shares received upon exercise of the Option. Participant understands that Personal Data will be held only as long as is necessary to implement, administer and manage Participant’s participation in the Plan. Participant understands that he or she may, at any time, view Personal Data, request additional information about the storage and processing of Personal Data, require any necessary amendments to Personal Data or refuse or withdraw the consents herein, without cost, by contacting in writing Participant’s local human resources representative. Participant understands that refusal or withdrawal of consent may affect Participant’s ability to participate in the Plan or to realize benefits from the Option. For more information on the consequences of Participant’s refusal to consent or withdrawal of consent, Participant understands that he or she may contact his or her local human resources representative.</w:t>
      </w:r>
    </w:p>
    <w:p>
      <w:pPr>
        <w:pStyle w:val="TextBody"/>
        <w:bidi w:val="0"/>
        <w:spacing w:before="237" w:after="283"/>
        <w:jc w:val="left"/>
        <w:rPr>
          <w:rFonts w:ascii="Times New Roman" w:hAnsi="Times New Roman"/>
          <w:color w:val="000000"/>
          <w:sz w:val="20"/>
        </w:rPr>
      </w:pPr>
      <w:r>
        <w:rPr>
          <w:rFonts w:ascii="Times New Roman" w:hAnsi="Times New Roman"/>
          <w:color w:val="000000"/>
          <w:sz w:val="20"/>
        </w:rPr>
        <w:t>12.</w:t>
      </w:r>
    </w:p>
    <w:p>
      <w:pPr>
        <w:pStyle w:val="TextBody"/>
        <w:bidi w:val="0"/>
        <w:spacing w:before="237" w:after="283"/>
        <w:jc w:val="left"/>
        <w:rPr>
          <w:rFonts w:ascii="Times New Roman" w:hAnsi="Times New Roman"/>
          <w:sz w:val="20"/>
        </w:rPr>
      </w:pPr>
      <w:r>
        <w:rPr>
          <w:rFonts w:ascii="Times New Roman" w:hAnsi="Times New Roman"/>
          <w:color w:val="000000"/>
          <w:sz w:val="20"/>
          <w:u w:val="single"/>
        </w:rPr>
        <w:t>Address for Notices</w:t>
      </w:r>
      <w:r>
        <w:rPr>
          <w:rFonts w:ascii="Times New Roman" w:hAnsi="Times New Roman"/>
          <w:color w:val="000000"/>
          <w:sz w:val="20"/>
        </w:rPr>
        <w:t>. Any notice to be given to the Company under the terms of this Award Agreement will be addressed to the Company, in care of its Secretary at Arcadia Biosciences, Inc., 5956 Sherry Lane, Suite 2000, Dallas, TX 75225, or at such other address as the Company may hereafter designate in writing.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13.</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Non-Transferability of Option</w:t>
      </w:r>
      <w:r>
        <w:rPr>
          <w:rFonts w:ascii="Times New Roman" w:hAnsi="Times New Roman"/>
          <w:color w:val="000000"/>
          <w:sz w:val="20"/>
        </w:rPr>
        <w:t>. This Option may not be transferred in any manner other than by will or by the laws of descent or distribution and may be exercised during the lifetime of Participant only by Participant.</w:t>
      </w:r>
    </w:p>
    <w:p>
      <w:pPr>
        <w:pStyle w:val="TextBody"/>
        <w:bidi w:val="0"/>
        <w:spacing w:before="239" w:after="283"/>
        <w:jc w:val="both"/>
        <w:rPr>
          <w:rFonts w:ascii="Times New Roman" w:hAnsi="Times New Roman"/>
          <w:color w:val="000000"/>
          <w:sz w:val="20"/>
        </w:rPr>
      </w:pPr>
      <w:r>
        <w:rPr>
          <w:rFonts w:ascii="Times New Roman" w:hAnsi="Times New Roman"/>
          <w:color w:val="000000"/>
          <w:sz w:val="20"/>
        </w:rPr>
        <w:t>14.</w:t>
      </w:r>
    </w:p>
    <w:p>
      <w:pPr>
        <w:pStyle w:val="TextBody"/>
        <w:bidi w:val="0"/>
        <w:spacing w:before="239" w:after="283"/>
        <w:jc w:val="both"/>
        <w:rPr>
          <w:rFonts w:ascii="Times New Roman" w:hAnsi="Times New Roman"/>
          <w:sz w:val="20"/>
        </w:rPr>
      </w:pPr>
      <w:r>
        <w:rPr>
          <w:rFonts w:ascii="Times New Roman" w:hAnsi="Times New Roman"/>
          <w:color w:val="000000"/>
          <w:sz w:val="20"/>
          <w:u w:val="single"/>
        </w:rPr>
        <w:t>Binding Agreement</w:t>
      </w:r>
      <w:r>
        <w:rPr>
          <w:rFonts w:ascii="Times New Roman" w:hAnsi="Times New Roman"/>
          <w:color w:val="000000"/>
          <w:sz w:val="20"/>
        </w:rPr>
        <w:t>. Subject to the limitation on the transferability of the Option evidenced hereby, this Award Agreement will be binding upon and inure to the benefit of the heirs, legatees, legal representatives, successors and assigns of the parties hereto.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15.</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Additional Conditions to Issuance of Stock</w:t>
      </w:r>
      <w:r>
        <w:rPr>
          <w:rFonts w:ascii="Times New Roman" w:hAnsi="Times New Roman"/>
          <w:color w:val="000000"/>
          <w:sz w:val="20"/>
        </w:rPr>
        <w:t>. If at any time the Company will determine, in its discretion, that the listing, registration or qualification of the Shares upon any securities exchange or under any state, federal or foreign law, or the consent or approval of any governmental regulatory authority is necessary or desirable as a condition to the issuance of Shares to Participant (or his or her estate), such issuance will not occur unless and until such listing, registration, qualification, consent or approval will have been effected or obtained free of any conditions not acceptable to the Company. The Company will make all reasonable efforts to meet the requirements of any such state, federal or foreign law or securities exchange and to obtain any such consent or approval of any such governmental authority. Assuming such compliance, for income tax purposes the Exercised Shares will be considered transferred to Participant on the date the Option is exercised with respect to such Exercised Shares. The Company shall not be obligated to issue any Shares pursuant to this Option at any time if the issuance of Shares, or the exercise of an Option by Participant, violates or is not in compliance with any laws, rules or regulations of the United States or any state or country.</w:t>
      </w:r>
    </w:p>
    <w:p>
      <w:pPr>
        <w:pStyle w:val="TextBody"/>
        <w:bidi w:val="0"/>
        <w:spacing w:before="242" w:after="283"/>
        <w:jc w:val="both"/>
        <w:rPr>
          <w:rFonts w:ascii="Times New Roman" w:hAnsi="Times New Roman"/>
          <w:color w:val="000000"/>
          <w:sz w:val="20"/>
        </w:rPr>
      </w:pPr>
      <w:r>
        <w:rPr>
          <w:rFonts w:ascii="Times New Roman" w:hAnsi="Times New Roman"/>
          <w:color w:val="000000"/>
          <w:sz w:val="20"/>
        </w:rPr>
        <w:t>16.</w:t>
      </w:r>
    </w:p>
    <w:p>
      <w:pPr>
        <w:pStyle w:val="TextBody"/>
        <w:bidi w:val="0"/>
        <w:spacing w:before="242" w:after="283"/>
        <w:jc w:val="both"/>
        <w:rPr>
          <w:rFonts w:ascii="Times New Roman" w:hAnsi="Times New Roman"/>
          <w:sz w:val="20"/>
        </w:rPr>
      </w:pPr>
      <w:r>
        <w:rPr>
          <w:rFonts w:ascii="Times New Roman" w:hAnsi="Times New Roman"/>
          <w:color w:val="000000"/>
          <w:sz w:val="20"/>
          <w:u w:val="single"/>
        </w:rPr>
        <w:t>Plan Governs.</w:t>
      </w:r>
      <w:r>
        <w:rPr>
          <w:rFonts w:ascii="Times New Roman" w:hAnsi="Times New Roman"/>
          <w:color w:val="000000"/>
          <w:sz w:val="20"/>
        </w:rPr>
        <w:t xml:space="preserve"> This Award Agreement is subject to all terms and provisions of the Plan. In the event of a conflict between one or more provisions of this Award Agreement and one or more provisions of the Plan, the provisions of the Plan will govern. Capitalized terms used and not defined in this Award Agreement will have the meaning set forth in the Plan.</w:t>
      </w:r>
    </w:p>
    <w:p>
      <w:pPr>
        <w:pStyle w:val="TextBody"/>
        <w:bidi w:val="0"/>
        <w:spacing w:before="239" w:after="283"/>
        <w:jc w:val="both"/>
        <w:rPr>
          <w:rFonts w:ascii="Times New Roman" w:hAnsi="Times New Roman"/>
          <w:color w:val="000000"/>
          <w:sz w:val="20"/>
        </w:rPr>
      </w:pPr>
      <w:r>
        <w:rPr>
          <w:rFonts w:ascii="Times New Roman" w:hAnsi="Times New Roman"/>
          <w:color w:val="000000"/>
          <w:sz w:val="20"/>
        </w:rPr>
        <w:t>17.</w:t>
      </w:r>
    </w:p>
    <w:p>
      <w:pPr>
        <w:pStyle w:val="TextBody"/>
        <w:bidi w:val="0"/>
        <w:spacing w:before="239" w:after="283"/>
        <w:jc w:val="both"/>
        <w:rPr>
          <w:rFonts w:ascii="Times New Roman" w:hAnsi="Times New Roman"/>
          <w:sz w:val="20"/>
        </w:rPr>
      </w:pPr>
      <w:r>
        <w:rPr>
          <w:rFonts w:ascii="Times New Roman" w:hAnsi="Times New Roman"/>
          <w:color w:val="000000"/>
          <w:sz w:val="20"/>
          <w:u w:val="single"/>
        </w:rPr>
        <w:t>Administrator Authority</w:t>
      </w:r>
      <w:r>
        <w:rPr>
          <w:rFonts w:ascii="Times New Roman" w:hAnsi="Times New Roman"/>
          <w:color w:val="000000"/>
          <w:sz w:val="20"/>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pStyle w:val="TextBody"/>
        <w:bidi w:val="0"/>
        <w:spacing w:before="242" w:after="283"/>
        <w:jc w:val="both"/>
        <w:rPr>
          <w:rFonts w:ascii="Times New Roman" w:hAnsi="Times New Roman"/>
          <w:color w:val="000000"/>
          <w:sz w:val="20"/>
        </w:rPr>
      </w:pPr>
      <w:r>
        <w:rPr>
          <w:rFonts w:ascii="Times New Roman" w:hAnsi="Times New Roman"/>
          <w:color w:val="000000"/>
          <w:sz w:val="20"/>
        </w:rPr>
        <w:t>18.</w:t>
      </w:r>
    </w:p>
    <w:p>
      <w:pPr>
        <w:pStyle w:val="TextBody"/>
        <w:bidi w:val="0"/>
        <w:spacing w:before="242" w:after="283"/>
        <w:jc w:val="both"/>
        <w:rPr>
          <w:rFonts w:ascii="Times New Roman" w:hAnsi="Times New Roman"/>
          <w:sz w:val="20"/>
        </w:rPr>
      </w:pPr>
      <w:r>
        <w:rPr>
          <w:rFonts w:ascii="Times New Roman" w:hAnsi="Times New Roman"/>
          <w:color w:val="000000"/>
          <w:sz w:val="20"/>
          <w:u w:val="single"/>
        </w:rPr>
        <w:t>Electronic Delivery</w:t>
      </w:r>
      <w:r>
        <w:rPr>
          <w:rFonts w:ascii="Times New Roman" w:hAnsi="Times New Roman"/>
          <w:color w:val="000000"/>
          <w:sz w:val="20"/>
        </w:rPr>
        <w:t>. The Company may, in its sole discretion, decide to deliver any documents related to Options awarded under the Plan or future options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39" w:after="283"/>
        <w:jc w:val="both"/>
        <w:rPr>
          <w:rFonts w:ascii="Times New Roman" w:hAnsi="Times New Roman"/>
          <w:color w:val="000000"/>
          <w:sz w:val="20"/>
        </w:rPr>
      </w:pPr>
      <w:r>
        <w:rPr>
          <w:rFonts w:ascii="Times New Roman" w:hAnsi="Times New Roman"/>
          <w:color w:val="000000"/>
          <w:sz w:val="20"/>
        </w:rPr>
        <w:t>19.</w:t>
      </w:r>
    </w:p>
    <w:p>
      <w:pPr>
        <w:pStyle w:val="TextBody"/>
        <w:bidi w:val="0"/>
        <w:spacing w:before="239" w:after="283"/>
        <w:jc w:val="both"/>
        <w:rPr>
          <w:rFonts w:ascii="Times New Roman" w:hAnsi="Times New Roman"/>
          <w:sz w:val="20"/>
        </w:rPr>
      </w:pPr>
      <w:r>
        <w:rPr>
          <w:rFonts w:ascii="Times New Roman" w:hAnsi="Times New Roman"/>
          <w:color w:val="000000"/>
          <w:sz w:val="20"/>
          <w:u w:val="single"/>
        </w:rPr>
        <w:t>Language</w:t>
      </w:r>
      <w:r>
        <w:rPr>
          <w:rFonts w:ascii="Times New Roman" w:hAnsi="Times New Roman"/>
          <w:color w:val="000000"/>
          <w:sz w:val="20"/>
        </w:rPr>
        <w:t>. If Participant has received this Award Agreement, including appendices, or any other document related to the Plan translated into a language other than English, and the meaning of the translated version is different than the English version, the English version will control.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20.</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Imposition of Other Requirements</w:t>
      </w:r>
      <w:r>
        <w:rPr>
          <w:rFonts w:ascii="Times New Roman" w:hAnsi="Times New Roman"/>
          <w:color w:val="000000"/>
          <w:sz w:val="20"/>
        </w:rPr>
        <w:t>. The Company reserves the right to impose other requirements on Participant’s participation in the Plan, on the Option and on any Shares acquired under the Plan, to the extent the Company determines it is necessary or advisable in order to comply with local law or facilitate the administration of the Plan, and to require Participant to sign any additional agreements or undertakings that may be necessary to accomplish the foregoing. Furthermore, Participant understands that the laws of the country in which he or she is resident at the time of grant, vesting, and/or exercise of this Option or the holding or disposition of Shares (including any rules or regulations governing securities, foreign exchange, tax, labor or other matters) may restrict or prevent exercise of this Option or may subject Participant to additional procedural or regulatory requirements he or she is solely responsible for and will have to independently fulfill in relation to this Option or the Shares. Notwithstanding any provision herein, this Option and any Shares shall be subject to any special terms and conditions or disclosures as set forth in any addendum for Participant’s country (the “Country-Specific Addendum,” which forms part this Award Agreement). In addition, the Option (and any compensation paid or shares issued under the Option) is subject to recoupment in accordance with The Dodd–Frank Wall Street Reform and Consumer Protection Act and any implementing regulations thereunder, any compensation recovery policy otherwise required by applicable law and any recoupment or clawback policy adopted by the Company (whether or not required by applicable law).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21.</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Captions</w:t>
      </w:r>
      <w:r>
        <w:rPr>
          <w:rFonts w:ascii="Times New Roman" w:hAnsi="Times New Roman"/>
          <w:color w:val="000000"/>
          <w:sz w:val="20"/>
        </w:rPr>
        <w:t>. Captions provided herein are for convenience only and are not to serve as a basis for interpretation or construction of this Award Agreement.</w:t>
      </w:r>
    </w:p>
    <w:p>
      <w:pPr>
        <w:pStyle w:val="TextBody"/>
        <w:bidi w:val="0"/>
        <w:spacing w:before="241" w:after="283"/>
        <w:jc w:val="both"/>
        <w:rPr>
          <w:rFonts w:ascii="Times New Roman" w:hAnsi="Times New Roman"/>
          <w:color w:val="000000"/>
          <w:sz w:val="20"/>
        </w:rPr>
      </w:pPr>
      <w:r>
        <w:rPr>
          <w:rFonts w:ascii="Times New Roman" w:hAnsi="Times New Roman"/>
          <w:color w:val="000000"/>
          <w:sz w:val="20"/>
        </w:rPr>
        <w:t>22.</w:t>
      </w:r>
    </w:p>
    <w:p>
      <w:pPr>
        <w:pStyle w:val="TextBody"/>
        <w:bidi w:val="0"/>
        <w:spacing w:before="241" w:after="283"/>
        <w:jc w:val="both"/>
        <w:rPr>
          <w:rFonts w:ascii="Times New Roman" w:hAnsi="Times New Roman"/>
          <w:sz w:val="20"/>
        </w:rPr>
      </w:pPr>
      <w:r>
        <w:rPr>
          <w:rFonts w:ascii="Times New Roman" w:hAnsi="Times New Roman"/>
          <w:color w:val="000000"/>
          <w:sz w:val="20"/>
          <w:u w:val="single"/>
        </w:rPr>
        <w:t>Agreement Severable</w:t>
      </w:r>
      <w:r>
        <w:rPr>
          <w:rFonts w:ascii="Times New Roman" w:hAnsi="Times New Roman"/>
          <w:color w:val="000000"/>
          <w:sz w:val="20"/>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23.</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Modifications to the Agreement</w:t>
      </w:r>
      <w:r>
        <w:rPr>
          <w:rFonts w:ascii="Times New Roman" w:hAnsi="Times New Roman"/>
          <w:color w:val="000000"/>
          <w:sz w:val="20"/>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Code Section 409A or to otherwise avoid imposition of any additional tax or income recognition under Section 409A of the Code in connection to this Option.</w:t>
      </w:r>
    </w:p>
    <w:p>
      <w:pPr>
        <w:pStyle w:val="TextBody"/>
        <w:bidi w:val="0"/>
        <w:spacing w:before="241" w:after="283"/>
        <w:jc w:val="both"/>
        <w:rPr>
          <w:rFonts w:ascii="Times New Roman" w:hAnsi="Times New Roman"/>
          <w:color w:val="000000"/>
          <w:sz w:val="20"/>
        </w:rPr>
      </w:pPr>
      <w:r>
        <w:rPr>
          <w:rFonts w:ascii="Times New Roman" w:hAnsi="Times New Roman"/>
          <w:color w:val="000000"/>
          <w:sz w:val="20"/>
        </w:rPr>
        <w:t>24.</w:t>
      </w:r>
    </w:p>
    <w:p>
      <w:pPr>
        <w:pStyle w:val="TextBody"/>
        <w:bidi w:val="0"/>
        <w:spacing w:before="241" w:after="283"/>
        <w:jc w:val="both"/>
        <w:rPr>
          <w:rFonts w:ascii="Times New Roman" w:hAnsi="Times New Roman"/>
          <w:sz w:val="20"/>
        </w:rPr>
      </w:pPr>
      <w:r>
        <w:rPr>
          <w:rFonts w:ascii="Times New Roman" w:hAnsi="Times New Roman"/>
          <w:color w:val="000000"/>
          <w:sz w:val="20"/>
          <w:u w:val="single"/>
        </w:rPr>
        <w:t>Amendment, Suspension or Termination of the Plan</w:t>
      </w:r>
      <w:r>
        <w:rPr>
          <w:rFonts w:ascii="Times New Roman" w:hAnsi="Times New Roman"/>
          <w:color w:val="000000"/>
          <w:sz w:val="20"/>
        </w:rPr>
        <w:t>. By accepting this Award, Participant expressly warrants that he or she has received an Option under the Plan, and has received, read and understood a description of the Plan. Participant understands that the Plan is discretionary in nature and may be amended, suspended or terminated by the Company at any time.</w:t>
      </w:r>
    </w:p>
    <w:p>
      <w:pPr>
        <w:pStyle w:val="TextBody"/>
        <w:bidi w:val="0"/>
        <w:spacing w:before="238" w:after="283"/>
        <w:jc w:val="both"/>
        <w:rPr>
          <w:rFonts w:ascii="Times New Roman" w:hAnsi="Times New Roman"/>
          <w:color w:val="000000"/>
          <w:sz w:val="20"/>
        </w:rPr>
      </w:pPr>
      <w:r>
        <w:rPr>
          <w:rFonts w:ascii="Times New Roman" w:hAnsi="Times New Roman"/>
          <w:color w:val="000000"/>
          <w:sz w:val="20"/>
        </w:rPr>
        <w:t>25.</w:t>
      </w:r>
    </w:p>
    <w:p>
      <w:pPr>
        <w:pStyle w:val="TextBody"/>
        <w:bidi w:val="0"/>
        <w:spacing w:before="238" w:after="283"/>
        <w:jc w:val="both"/>
        <w:rPr>
          <w:rFonts w:ascii="Times New Roman" w:hAnsi="Times New Roman"/>
          <w:sz w:val="20"/>
        </w:rPr>
      </w:pPr>
      <w:r>
        <w:rPr>
          <w:rFonts w:ascii="Times New Roman" w:hAnsi="Times New Roman"/>
          <w:color w:val="000000"/>
          <w:sz w:val="20"/>
          <w:u w:val="single"/>
        </w:rPr>
        <w:t>Governing Law</w:t>
      </w:r>
      <w:r>
        <w:rPr>
          <w:rFonts w:ascii="Times New Roman" w:hAnsi="Times New Roman"/>
          <w:color w:val="000000"/>
          <w:sz w:val="20"/>
        </w:rPr>
        <w:t>. This Award Agreement will be governed by the laws of the State of Delaware, without giving effect to the conflict of law principles thereof. For purposes of litigating any dispute that arises under this Award Agreement, the parties hereby submit to and consent to the jurisdiction of the federal and state courts located in the judicial district in which the principal offices of the Company are located, and no other courts.</w:t>
      </w:r>
    </w:p>
    <w:p>
      <w:pPr>
        <w:pStyle w:val="TextBody"/>
        <w:bidi w:val="0"/>
        <w:spacing w:before="247" w:after="283"/>
        <w:jc w:val="both"/>
        <w:rPr>
          <w:rFonts w:ascii="Times New Roman" w:hAnsi="Times New Roman"/>
          <w:b/>
          <w:i/>
          <w:color w:val="000000"/>
          <w:sz w:val="20"/>
        </w:rPr>
      </w:pPr>
      <w:r>
        <w:rPr>
          <w:rFonts w:ascii="Times New Roman" w:hAnsi="Times New Roman"/>
          <w:b/>
          <w:i/>
          <w:color w:val="000000"/>
          <w:sz w:val="20"/>
        </w:rPr>
        <w:t>By Participant’s acceptance of this Agreement, Participant and the Company agree that the Option is granted under and governed by the terms and conditions of the Plan and this Award Agreement, including the Terms and Conditions of Stock Option Grant set out herein (including any country-specific addendum thereto). Participant has reviewed the Plan and this Award Agreement in their entirety, has had an opportunity to obtain the advice of counsel prior to accepting this Award Agreement and fully understands all provisions of the Plan and Award Agreement. Participant hereby agrees to accept as binding, conclusive and final all decisions or interpretations of the Administrator upon any questions relating to the Plan and Award Agreement. Participant further agrees to promptly notify the Company, or its designee, or Equiniti, upon any change in his or her residence address.</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Heading1"/>
        <w:bidi w:val="0"/>
        <w:spacing w:before="75" w:after="283"/>
        <w:jc w:val="center"/>
        <w:rPr>
          <w:rFonts w:ascii="Times New Roman" w:hAnsi="Times New Roman"/>
          <w:color w:val="000000"/>
          <w:sz w:val="20"/>
          <w:u w:val="single"/>
        </w:rPr>
      </w:pPr>
      <w:r>
        <w:rPr>
          <w:rFonts w:ascii="Times New Roman" w:hAnsi="Times New Roman"/>
          <w:color w:val="000000"/>
          <w:sz w:val="20"/>
          <w:u w:val="single"/>
        </w:rPr>
        <w:t>EXHIBIT A</w:t>
      </w:r>
    </w:p>
    <w:p>
      <w:pPr>
        <w:pStyle w:val="Heading1"/>
        <w:bidi w:val="0"/>
        <w:spacing w:before="75" w:after="283"/>
        <w:jc w:val="left"/>
        <w:rPr/>
      </w:pPr>
      <w:r>
        <w:rPr/>
        <w:t> </w:t>
      </w:r>
    </w:p>
    <w:p>
      <w:pPr>
        <w:pStyle w:val="Heading1"/>
        <w:bidi w:val="0"/>
        <w:spacing w:before="75" w:after="283"/>
        <w:jc w:val="left"/>
        <w:rPr>
          <w:rFonts w:ascii="Times New Roman" w:hAnsi="Times New Roman"/>
          <w:color w:val="000000"/>
          <w:sz w:val="20"/>
          <w:u w:val="single"/>
        </w:rPr>
      </w:pPr>
      <w:r>
        <w:rPr>
          <w:rFonts w:ascii="Times New Roman" w:hAnsi="Times New Roman"/>
          <w:color w:val="000000"/>
          <w:sz w:val="20"/>
          <w:u w:val="single"/>
        </w:rPr>
        <w:t>Notice of Non-Qualified Stock Option of Arcadia Biosciences, Inc.</w:t>
      </w:r>
    </w:p>
    <w:p>
      <w:pPr>
        <w:pStyle w:val="TextBody"/>
        <w:bidi w:val="0"/>
        <w:spacing w:before="97" w:after="1"/>
        <w:jc w:val="left"/>
        <w:rPr/>
      </w:pPr>
      <w:r>
        <w:rPr/>
        <w:t> </w:t>
      </w:r>
    </w:p>
    <w:tbl>
      <w:tblPr>
        <w:tblW w:w="7888" w:type="dxa"/>
        <w:jc w:val="left"/>
        <w:tblInd w:w="0" w:type="dxa"/>
        <w:tblLayout w:type="fixed"/>
        <w:tblCellMar>
          <w:top w:w="28" w:type="dxa"/>
          <w:left w:w="28" w:type="dxa"/>
          <w:bottom w:w="28" w:type="dxa"/>
          <w:right w:w="28" w:type="dxa"/>
        </w:tblCellMar>
      </w:tblPr>
      <w:tblGrid>
        <w:gridCol w:w="2190"/>
        <w:gridCol w:w="4622"/>
        <w:gridCol w:w="1076"/>
      </w:tblGrid>
      <w:tr>
        <w:trPr/>
        <w:tc>
          <w:tcPr>
            <w:tcW w:w="2190" w:type="dxa"/>
            <w:tcBorders/>
            <w:vAlign w:val="center"/>
          </w:tcPr>
          <w:p>
            <w:pPr>
              <w:pStyle w:val="TableContents"/>
              <w:bidi w:val="0"/>
              <w:spacing w:before="0" w:after="283"/>
              <w:jc w:val="left"/>
              <w:rPr>
                <w:sz w:val="4"/>
                <w:szCs w:val="4"/>
              </w:rPr>
            </w:pPr>
            <w:r>
              <w:rPr>
                <w:sz w:val="4"/>
                <w:szCs w:val="4"/>
              </w:rPr>
            </w:r>
          </w:p>
        </w:tc>
        <w:tc>
          <w:tcPr>
            <w:tcW w:w="4622"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ind w:left="0" w:right="0" w:firstLine="96"/>
              <w:jc w:val="left"/>
              <w:rPr>
                <w:sz w:val="4"/>
                <w:szCs w:val="4"/>
              </w:rPr>
            </w:pPr>
            <w:r>
              <w:rPr>
                <w:sz w:val="4"/>
                <w:szCs w:val="4"/>
              </w:rPr>
            </w:r>
          </w:p>
        </w:tc>
      </w:tr>
      <w:tr>
        <w:trPr/>
        <w:tc>
          <w:tcPr>
            <w:tcW w:w="2190" w:type="dxa"/>
            <w:tcBorders/>
            <w:tcMar>
              <w:top w:w="0" w:type="dxa"/>
              <w:left w:w="0" w:type="dxa"/>
              <w:bottom w:w="0" w:type="dxa"/>
              <w:right w:w="0" w:type="dxa"/>
            </w:tcMar>
            <w:vAlign w:val="center"/>
          </w:tcPr>
          <w:p>
            <w:pPr>
              <w:pStyle w:val="TableContents"/>
              <w:bidi w:val="0"/>
              <w:spacing w:before="0" w:after="283"/>
              <w:ind w:left="0" w:right="0" w:firstLine="46"/>
              <w:jc w:val="left"/>
              <w:rPr>
                <w:rFonts w:ascii="Times New Roman" w:hAnsi="Times New Roman"/>
                <w:color w:val="000000"/>
                <w:sz w:val="20"/>
              </w:rPr>
            </w:pPr>
            <w:r>
              <w:rPr>
                <w:rFonts w:ascii="Times New Roman" w:hAnsi="Times New Roman"/>
                <w:color w:val="000000"/>
                <w:sz w:val="20"/>
              </w:rPr>
              <w:t>Company Name</w:t>
            </w:r>
          </w:p>
        </w:tc>
        <w:tc>
          <w:tcPr>
            <w:tcW w:w="4622" w:type="dxa"/>
            <w:tcBorders/>
            <w:tcMar>
              <w:top w:w="0" w:type="dxa"/>
              <w:left w:w="0" w:type="dxa"/>
              <w:bottom w:w="0" w:type="dxa"/>
              <w:right w:w="0" w:type="dxa"/>
            </w:tcMar>
            <w:vAlign w:val="center"/>
          </w:tcPr>
          <w:p>
            <w:pPr>
              <w:pStyle w:val="TableContents"/>
              <w:bidi w:val="0"/>
              <w:spacing w:before="0" w:after="283"/>
              <w:ind w:left="0" w:right="0" w:firstLine="46"/>
              <w:jc w:val="left"/>
              <w:rPr>
                <w:rFonts w:ascii="Times New Roman" w:hAnsi="Times New Roman"/>
                <w:color w:val="000000"/>
                <w:sz w:val="20"/>
              </w:rPr>
            </w:pPr>
            <w:r>
              <w:rPr>
                <w:rFonts w:ascii="Times New Roman" w:hAnsi="Times New Roman"/>
                <w:color w:val="000000"/>
                <w:sz w:val="20"/>
              </w:rPr>
              <w:t>Arcadia Biosciences, Inc.</w:t>
            </w:r>
          </w:p>
        </w:tc>
        <w:tc>
          <w:tcPr>
            <w:tcW w:w="1076" w:type="dxa"/>
            <w:vMerge w:val="restart"/>
            <w:tcBorders/>
            <w:tcMar>
              <w:top w:w="0" w:type="dxa"/>
              <w:left w:w="0" w:type="dxa"/>
              <w:bottom w:w="0" w:type="dxa"/>
              <w:right w:w="0" w:type="dxa"/>
            </w:tcMar>
            <w:vAlign w:val="center"/>
          </w:tcPr>
          <w:p>
            <w:pPr>
              <w:pStyle w:val="TableContents"/>
              <w:bidi w:val="0"/>
              <w:spacing w:before="0" w:after="283"/>
              <w:ind w:left="0" w:right="0" w:firstLine="96"/>
              <w:jc w:val="left"/>
              <w:rPr/>
            </w:pPr>
            <w:r>
              <w:rPr/>
              <w:t> </w:t>
            </w:r>
          </w:p>
        </w:tc>
      </w:tr>
      <w:tr>
        <w:trPr/>
        <w:tc>
          <w:tcPr>
            <w:tcW w:w="2190" w:type="dxa"/>
            <w:tcBorders/>
            <w:tcMar>
              <w:top w:w="0" w:type="dxa"/>
              <w:left w:w="0" w:type="dxa"/>
              <w:bottom w:w="0" w:type="dxa"/>
              <w:right w:w="0" w:type="dxa"/>
            </w:tcMar>
            <w:vAlign w:val="center"/>
          </w:tcPr>
          <w:p>
            <w:pPr>
              <w:pStyle w:val="TableContents"/>
              <w:bidi w:val="0"/>
              <w:spacing w:before="161" w:after="283"/>
              <w:ind w:left="0" w:right="0" w:firstLine="46"/>
              <w:jc w:val="left"/>
              <w:rPr>
                <w:rFonts w:ascii="Times New Roman" w:hAnsi="Times New Roman"/>
                <w:color w:val="000000"/>
                <w:sz w:val="20"/>
              </w:rPr>
            </w:pPr>
            <w:r>
              <w:rPr>
                <w:rFonts w:ascii="Times New Roman" w:hAnsi="Times New Roman"/>
                <w:color w:val="000000"/>
                <w:sz w:val="20"/>
              </w:rPr>
              <w:t>Plan</w:t>
            </w:r>
          </w:p>
        </w:tc>
        <w:tc>
          <w:tcPr>
            <w:tcW w:w="4622" w:type="dxa"/>
            <w:tcBorders/>
            <w:tcMar>
              <w:top w:w="0" w:type="dxa"/>
              <w:left w:w="0" w:type="dxa"/>
              <w:bottom w:w="0" w:type="dxa"/>
              <w:right w:w="0" w:type="dxa"/>
            </w:tcMar>
            <w:vAlign w:val="center"/>
          </w:tcPr>
          <w:p>
            <w:pPr>
              <w:pStyle w:val="TableContents"/>
              <w:bidi w:val="0"/>
              <w:spacing w:before="161" w:after="283"/>
              <w:ind w:left="0" w:right="0" w:firstLine="96"/>
              <w:jc w:val="left"/>
              <w:rPr>
                <w:rFonts w:ascii="Times New Roman" w:hAnsi="Times New Roman"/>
                <w:color w:val="000000"/>
                <w:sz w:val="20"/>
              </w:rPr>
            </w:pPr>
            <w:r>
              <w:rPr>
                <w:rFonts w:ascii="Times New Roman" w:hAnsi="Times New Roman"/>
                <w:color w:val="000000"/>
                <w:sz w:val="20"/>
              </w:rPr>
              <w:t>2026 Omnibus Equity Incentive Plan</w:t>
            </w:r>
          </w:p>
        </w:tc>
        <w:tc>
          <w:tcPr>
            <w:tcW w:w="1076" w:type="dxa"/>
            <w:vMerge w:val="continue"/>
            <w:tcBorders/>
            <w:tcMar>
              <w:top w:w="0" w:type="dxa"/>
              <w:left w:w="0" w:type="dxa"/>
              <w:bottom w:w="0" w:type="dxa"/>
              <w:right w:w="0" w:type="dxa"/>
            </w:tcMar>
            <w:vAlign w:val="center"/>
          </w:tcPr>
          <w:p>
            <w:pPr>
              <w:pStyle w:val="Normal"/>
              <w:bidi w:val="0"/>
              <w:jc w:val="left"/>
              <w:rPr/>
            </w:pPr>
            <w:r>
              <w:rPr/>
            </w:r>
          </w:p>
        </w:tc>
      </w:tr>
      <w:tr>
        <w:trPr/>
        <w:tc>
          <w:tcPr>
            <w:tcW w:w="2190" w:type="dxa"/>
            <w:tcBorders/>
            <w:tcMar>
              <w:top w:w="0" w:type="dxa"/>
              <w:left w:w="0" w:type="dxa"/>
              <w:bottom w:w="0" w:type="dxa"/>
              <w:right w:w="0" w:type="dxa"/>
            </w:tcMar>
            <w:vAlign w:val="center"/>
          </w:tcPr>
          <w:p>
            <w:pPr>
              <w:pStyle w:val="TableContents"/>
              <w:bidi w:val="0"/>
              <w:spacing w:before="161" w:after="283"/>
              <w:ind w:left="0" w:right="0" w:firstLine="134"/>
              <w:jc w:val="left"/>
              <w:rPr>
                <w:rFonts w:ascii="Times New Roman" w:hAnsi="Times New Roman"/>
                <w:color w:val="000000"/>
                <w:sz w:val="20"/>
              </w:rPr>
            </w:pPr>
            <w:r>
              <w:rPr>
                <w:rFonts w:ascii="Times New Roman" w:hAnsi="Times New Roman"/>
                <w:color w:val="000000"/>
                <w:sz w:val="20"/>
              </w:rPr>
              <w:t>Participant Id</w:t>
            </w:r>
          </w:p>
        </w:tc>
        <w:tc>
          <w:tcPr>
            <w:tcW w:w="4622" w:type="dxa"/>
            <w:tcBorders/>
            <w:tcMar>
              <w:top w:w="0" w:type="dxa"/>
              <w:left w:w="0" w:type="dxa"/>
              <w:bottom w:w="0" w:type="dxa"/>
              <w:right w:w="0" w:type="dxa"/>
            </w:tcMar>
            <w:vAlign w:val="center"/>
          </w:tcPr>
          <w:p>
            <w:pPr>
              <w:pStyle w:val="TableContents"/>
              <w:bidi w:val="0"/>
              <w:spacing w:before="161" w:after="283"/>
              <w:ind w:left="0" w:right="0" w:firstLine="96"/>
              <w:jc w:val="left"/>
              <w:rPr/>
            </w:pPr>
            <w:r>
              <w:rPr/>
              <w:t> </w:t>
            </w:r>
          </w:p>
        </w:tc>
        <w:tc>
          <w:tcPr>
            <w:tcW w:w="1076" w:type="dxa"/>
            <w:vMerge w:val="continue"/>
            <w:tcBorders/>
            <w:tcMar>
              <w:top w:w="0" w:type="dxa"/>
              <w:left w:w="0" w:type="dxa"/>
              <w:bottom w:w="0" w:type="dxa"/>
              <w:right w:w="0" w:type="dxa"/>
            </w:tcMar>
            <w:vAlign w:val="center"/>
          </w:tcPr>
          <w:p>
            <w:pPr>
              <w:pStyle w:val="Normal"/>
              <w:bidi w:val="0"/>
              <w:jc w:val="left"/>
              <w:rPr/>
            </w:pPr>
            <w:r>
              <w:rPr/>
            </w:r>
          </w:p>
        </w:tc>
      </w:tr>
      <w:tr>
        <w:trPr/>
        <w:tc>
          <w:tcPr>
            <w:tcW w:w="2190" w:type="dxa"/>
            <w:tcBorders/>
            <w:tcMar>
              <w:top w:w="0" w:type="dxa"/>
              <w:left w:w="0" w:type="dxa"/>
              <w:bottom w:w="0" w:type="dxa"/>
              <w:right w:w="0" w:type="dxa"/>
            </w:tcMar>
            <w:vAlign w:val="center"/>
          </w:tcPr>
          <w:p>
            <w:pPr>
              <w:pStyle w:val="TableContents"/>
              <w:bidi w:val="0"/>
              <w:spacing w:before="161" w:after="283"/>
              <w:ind w:left="0" w:right="0" w:firstLine="46"/>
              <w:jc w:val="left"/>
              <w:rPr>
                <w:rFonts w:ascii="Times New Roman" w:hAnsi="Times New Roman"/>
                <w:color w:val="000000"/>
                <w:sz w:val="20"/>
              </w:rPr>
            </w:pPr>
            <w:r>
              <w:rPr>
                <w:rFonts w:ascii="Times New Roman" w:hAnsi="Times New Roman"/>
                <w:color w:val="000000"/>
                <w:sz w:val="20"/>
              </w:rPr>
              <w:t>Participant Name</w:t>
            </w:r>
          </w:p>
        </w:tc>
        <w:tc>
          <w:tcPr>
            <w:tcW w:w="4622" w:type="dxa"/>
            <w:tcBorders/>
            <w:tcMar>
              <w:top w:w="0" w:type="dxa"/>
              <w:left w:w="0" w:type="dxa"/>
              <w:bottom w:w="0" w:type="dxa"/>
              <w:right w:w="0" w:type="dxa"/>
            </w:tcMar>
            <w:vAlign w:val="center"/>
          </w:tcPr>
          <w:p>
            <w:pPr>
              <w:pStyle w:val="TableContents"/>
              <w:bidi w:val="0"/>
              <w:spacing w:before="161" w:after="283"/>
              <w:ind w:left="0" w:right="0" w:firstLine="96"/>
              <w:jc w:val="left"/>
              <w:rPr/>
            </w:pPr>
            <w:r>
              <w:rPr/>
              <w:t> </w:t>
            </w:r>
          </w:p>
        </w:tc>
        <w:tc>
          <w:tcPr>
            <w:tcW w:w="1076" w:type="dxa"/>
            <w:vMerge w:val="continue"/>
            <w:tcBorders/>
            <w:tcMar>
              <w:top w:w="0" w:type="dxa"/>
              <w:left w:w="0" w:type="dxa"/>
              <w:bottom w:w="0" w:type="dxa"/>
              <w:right w:w="0" w:type="dxa"/>
            </w:tcMar>
            <w:vAlign w:val="center"/>
          </w:tcPr>
          <w:p>
            <w:pPr>
              <w:pStyle w:val="Normal"/>
              <w:bidi w:val="0"/>
              <w:jc w:val="left"/>
              <w:rPr/>
            </w:pPr>
            <w:r>
              <w:rPr/>
            </w:r>
          </w:p>
        </w:tc>
      </w:tr>
      <w:tr>
        <w:trPr/>
        <w:tc>
          <w:tcPr>
            <w:tcW w:w="2190" w:type="dxa"/>
            <w:tcBorders/>
            <w:tcMar>
              <w:top w:w="0" w:type="dxa"/>
              <w:left w:w="0" w:type="dxa"/>
              <w:bottom w:w="0" w:type="dxa"/>
              <w:right w:w="0" w:type="dxa"/>
            </w:tcMar>
            <w:vAlign w:val="center"/>
          </w:tcPr>
          <w:p>
            <w:pPr>
              <w:pStyle w:val="TableContents"/>
              <w:bidi w:val="0"/>
              <w:spacing w:before="161" w:after="283"/>
              <w:ind w:left="0" w:right="0" w:firstLine="46"/>
              <w:jc w:val="left"/>
              <w:rPr>
                <w:rFonts w:ascii="Times New Roman" w:hAnsi="Times New Roman"/>
                <w:color w:val="000000"/>
                <w:sz w:val="20"/>
              </w:rPr>
            </w:pPr>
            <w:r>
              <w:rPr>
                <w:rFonts w:ascii="Times New Roman" w:hAnsi="Times New Roman"/>
                <w:color w:val="000000"/>
                <w:sz w:val="20"/>
              </w:rPr>
              <w:t>Participant Address</w:t>
            </w:r>
          </w:p>
        </w:tc>
        <w:tc>
          <w:tcPr>
            <w:tcW w:w="4622" w:type="dxa"/>
            <w:tcBorders/>
            <w:tcMar>
              <w:top w:w="0" w:type="dxa"/>
              <w:left w:w="0" w:type="dxa"/>
              <w:bottom w:w="0" w:type="dxa"/>
              <w:right w:w="0" w:type="dxa"/>
            </w:tcMar>
            <w:vAlign w:val="center"/>
          </w:tcPr>
          <w:p>
            <w:pPr>
              <w:pStyle w:val="TableContents"/>
              <w:bidi w:val="0"/>
              <w:spacing w:before="186" w:after="283"/>
              <w:ind w:left="0" w:right="0" w:firstLine="46"/>
              <w:jc w:val="left"/>
              <w:rPr/>
            </w:pPr>
            <w:r>
              <w:rPr/>
              <w:t> </w:t>
            </w:r>
          </w:p>
        </w:tc>
        <w:tc>
          <w:tcPr>
            <w:tcW w:w="1076" w:type="dxa"/>
            <w:tcBorders/>
            <w:tcMar>
              <w:top w:w="0" w:type="dxa"/>
              <w:left w:w="0" w:type="dxa"/>
              <w:bottom w:w="0" w:type="dxa"/>
              <w:right w:w="0" w:type="dxa"/>
            </w:tcMar>
            <w:vAlign w:val="center"/>
          </w:tcPr>
          <w:p>
            <w:pPr>
              <w:pStyle w:val="TableContents"/>
              <w:bidi w:val="0"/>
              <w:spacing w:before="161" w:after="283"/>
              <w:ind w:left="0" w:right="0" w:firstLine="96"/>
              <w:jc w:val="right"/>
              <w:rPr/>
            </w:pPr>
            <w:r>
              <w:rPr/>
              <w:t> </w:t>
            </w:r>
          </w:p>
        </w:tc>
      </w:tr>
      <w:tr>
        <w:trPr/>
        <w:tc>
          <w:tcPr>
            <w:tcW w:w="2190" w:type="dxa"/>
            <w:tcBorders/>
            <w:tcMar>
              <w:top w:w="0" w:type="dxa"/>
              <w:left w:w="0" w:type="dxa"/>
              <w:bottom w:w="0" w:type="dxa"/>
              <w:right w:w="0" w:type="dxa"/>
            </w:tcMar>
            <w:vAlign w:val="center"/>
          </w:tcPr>
          <w:p>
            <w:pPr>
              <w:pStyle w:val="TableContents"/>
              <w:bidi w:val="0"/>
              <w:spacing w:before="161" w:after="283"/>
              <w:ind w:left="0" w:right="0" w:firstLine="46"/>
              <w:jc w:val="left"/>
              <w:rPr>
                <w:rFonts w:ascii="Times New Roman" w:hAnsi="Times New Roman"/>
                <w:color w:val="000000"/>
                <w:sz w:val="20"/>
              </w:rPr>
            </w:pPr>
            <w:r>
              <w:rPr>
                <w:rFonts w:ascii="Times New Roman" w:hAnsi="Times New Roman"/>
                <w:color w:val="000000"/>
                <w:sz w:val="20"/>
              </w:rPr>
              <w:t>Grant/Award Type</w:t>
            </w:r>
          </w:p>
        </w:tc>
        <w:tc>
          <w:tcPr>
            <w:tcW w:w="4622" w:type="dxa"/>
            <w:tcBorders/>
            <w:tcMar>
              <w:top w:w="0" w:type="dxa"/>
              <w:left w:w="0" w:type="dxa"/>
              <w:bottom w:w="0" w:type="dxa"/>
              <w:right w:w="0" w:type="dxa"/>
            </w:tcMar>
            <w:vAlign w:val="center"/>
          </w:tcPr>
          <w:p>
            <w:pPr>
              <w:pStyle w:val="TableContents"/>
              <w:bidi w:val="0"/>
              <w:spacing w:before="161" w:after="283"/>
              <w:ind w:left="0" w:right="0" w:firstLine="46"/>
              <w:jc w:val="left"/>
              <w:rPr>
                <w:rFonts w:ascii="Times New Roman" w:hAnsi="Times New Roman"/>
                <w:color w:val="000000"/>
                <w:sz w:val="20"/>
              </w:rPr>
            </w:pPr>
            <w:r>
              <w:rPr>
                <w:rFonts w:ascii="Times New Roman" w:hAnsi="Times New Roman"/>
                <w:color w:val="000000"/>
                <w:sz w:val="20"/>
              </w:rPr>
              <w:t>[Non-Qualified Stock Option] [Incentive Stock Option]</w:t>
            </w:r>
          </w:p>
        </w:tc>
        <w:tc>
          <w:tcPr>
            <w:tcW w:w="1076" w:type="dxa"/>
            <w:tcBorders/>
            <w:tcMar>
              <w:top w:w="0" w:type="dxa"/>
              <w:left w:w="0" w:type="dxa"/>
              <w:bottom w:w="0" w:type="dxa"/>
              <w:right w:w="0" w:type="dxa"/>
            </w:tcMar>
            <w:vAlign w:val="center"/>
          </w:tcPr>
          <w:p>
            <w:pPr>
              <w:pStyle w:val="TableContents"/>
              <w:bidi w:val="0"/>
              <w:spacing w:before="0" w:after="283"/>
              <w:ind w:left="0" w:right="0" w:firstLine="96"/>
              <w:jc w:val="left"/>
              <w:rPr/>
            </w:pPr>
            <w:r>
              <w:rPr/>
              <w:t> </w:t>
            </w:r>
          </w:p>
        </w:tc>
      </w:tr>
      <w:tr>
        <w:trPr/>
        <w:tc>
          <w:tcPr>
            <w:tcW w:w="2190" w:type="dxa"/>
            <w:tcBorders/>
            <w:tcMar>
              <w:top w:w="0" w:type="dxa"/>
              <w:left w:w="0" w:type="dxa"/>
              <w:bottom w:w="0" w:type="dxa"/>
              <w:right w:w="0" w:type="dxa"/>
            </w:tcMar>
            <w:vAlign w:val="center"/>
          </w:tcPr>
          <w:p>
            <w:pPr>
              <w:pStyle w:val="TableContents"/>
              <w:bidi w:val="0"/>
              <w:spacing w:before="161" w:after="283"/>
              <w:ind w:left="0" w:right="0" w:firstLine="278"/>
              <w:jc w:val="left"/>
              <w:rPr>
                <w:rFonts w:ascii="Times New Roman" w:hAnsi="Times New Roman"/>
                <w:color w:val="000000"/>
                <w:sz w:val="20"/>
              </w:rPr>
            </w:pPr>
            <w:r>
              <w:rPr>
                <w:rFonts w:ascii="Times New Roman" w:hAnsi="Times New Roman"/>
                <w:color w:val="000000"/>
                <w:sz w:val="20"/>
              </w:rPr>
              <w:t>Share Amount</w:t>
            </w:r>
          </w:p>
        </w:tc>
        <w:tc>
          <w:tcPr>
            <w:tcW w:w="4622" w:type="dxa"/>
            <w:tcBorders/>
            <w:tcMar>
              <w:top w:w="0" w:type="dxa"/>
              <w:left w:w="0" w:type="dxa"/>
              <w:bottom w:w="0" w:type="dxa"/>
              <w:right w:w="0" w:type="dxa"/>
            </w:tcMar>
            <w:vAlign w:val="center"/>
          </w:tcPr>
          <w:p>
            <w:pPr>
              <w:pStyle w:val="TableContents"/>
              <w:bidi w:val="0"/>
              <w:spacing w:before="161" w:after="283"/>
              <w:ind w:left="0" w:right="0" w:firstLine="278"/>
              <w:jc w:val="left"/>
              <w:rPr/>
            </w:pPr>
            <w:r>
              <w:rPr/>
              <w:t> </w:t>
            </w:r>
          </w:p>
        </w:tc>
        <w:tc>
          <w:tcPr>
            <w:tcW w:w="1076" w:type="dxa"/>
            <w:tcBorders/>
            <w:tcMar>
              <w:top w:w="0" w:type="dxa"/>
              <w:left w:w="0" w:type="dxa"/>
              <w:bottom w:w="0" w:type="dxa"/>
              <w:right w:w="0" w:type="dxa"/>
            </w:tcMar>
            <w:vAlign w:val="center"/>
          </w:tcPr>
          <w:p>
            <w:pPr>
              <w:pStyle w:val="TableContents"/>
              <w:bidi w:val="0"/>
              <w:spacing w:before="0" w:after="283"/>
              <w:ind w:left="0" w:right="0" w:firstLine="96"/>
              <w:jc w:val="left"/>
              <w:rPr/>
            </w:pPr>
            <w:r>
              <w:rPr/>
              <w:t> </w:t>
            </w:r>
          </w:p>
        </w:tc>
      </w:tr>
      <w:tr>
        <w:trPr/>
        <w:tc>
          <w:tcPr>
            <w:tcW w:w="2190" w:type="dxa"/>
            <w:tcBorders/>
            <w:tcMar>
              <w:top w:w="0" w:type="dxa"/>
              <w:left w:w="0" w:type="dxa"/>
              <w:bottom w:w="0" w:type="dxa"/>
              <w:right w:w="0" w:type="dxa"/>
            </w:tcMar>
            <w:vAlign w:val="center"/>
          </w:tcPr>
          <w:p>
            <w:pPr>
              <w:pStyle w:val="TableContents"/>
              <w:bidi w:val="0"/>
              <w:spacing w:before="161" w:after="283"/>
              <w:ind w:left="0" w:right="0" w:firstLine="134"/>
              <w:jc w:val="left"/>
              <w:rPr>
                <w:rFonts w:ascii="Times New Roman" w:hAnsi="Times New Roman"/>
                <w:color w:val="000000"/>
                <w:sz w:val="20"/>
              </w:rPr>
            </w:pPr>
            <w:r>
              <w:rPr>
                <w:rFonts w:ascii="Times New Roman" w:hAnsi="Times New Roman"/>
                <w:color w:val="000000"/>
                <w:sz w:val="20"/>
              </w:rPr>
              <w:t>Grant/Award Date</w:t>
            </w:r>
          </w:p>
        </w:tc>
        <w:tc>
          <w:tcPr>
            <w:tcW w:w="4622" w:type="dxa"/>
            <w:tcBorders/>
            <w:tcMar>
              <w:top w:w="0" w:type="dxa"/>
              <w:left w:w="0" w:type="dxa"/>
              <w:bottom w:w="0" w:type="dxa"/>
              <w:right w:w="0" w:type="dxa"/>
            </w:tcMar>
            <w:vAlign w:val="center"/>
          </w:tcPr>
          <w:p>
            <w:pPr>
              <w:pStyle w:val="TableContents"/>
              <w:bidi w:val="0"/>
              <w:spacing w:before="161" w:after="283"/>
              <w:ind w:left="0" w:right="0" w:firstLine="134"/>
              <w:jc w:val="left"/>
              <w:rPr/>
            </w:pPr>
            <w:r>
              <w:rPr/>
              <w:t> </w:t>
            </w:r>
          </w:p>
        </w:tc>
        <w:tc>
          <w:tcPr>
            <w:tcW w:w="10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90" w:type="dxa"/>
            <w:tcBorders/>
            <w:tcMar>
              <w:top w:w="0" w:type="dxa"/>
              <w:left w:w="0" w:type="dxa"/>
              <w:bottom w:w="0" w:type="dxa"/>
              <w:right w:w="0" w:type="dxa"/>
            </w:tcMar>
            <w:vAlign w:val="center"/>
          </w:tcPr>
          <w:p>
            <w:pPr>
              <w:pStyle w:val="TableContents"/>
              <w:bidi w:val="0"/>
              <w:spacing w:before="161" w:after="283"/>
              <w:ind w:left="0" w:right="0" w:firstLine="134"/>
              <w:jc w:val="left"/>
              <w:rPr>
                <w:rFonts w:ascii="Times New Roman" w:hAnsi="Times New Roman"/>
                <w:color w:val="000000"/>
                <w:sz w:val="20"/>
              </w:rPr>
            </w:pPr>
            <w:r>
              <w:rPr>
                <w:rFonts w:ascii="Times New Roman" w:hAnsi="Times New Roman"/>
                <w:color w:val="000000"/>
                <w:sz w:val="20"/>
              </w:rPr>
              <w:t>Exercise Price per Share</w:t>
            </w:r>
          </w:p>
        </w:tc>
        <w:tc>
          <w:tcPr>
            <w:tcW w:w="4622" w:type="dxa"/>
            <w:tcBorders/>
            <w:tcMar>
              <w:top w:w="0" w:type="dxa"/>
              <w:left w:w="0" w:type="dxa"/>
              <w:bottom w:w="0" w:type="dxa"/>
              <w:right w:w="0" w:type="dxa"/>
            </w:tcMar>
            <w:vAlign w:val="center"/>
          </w:tcPr>
          <w:p>
            <w:pPr>
              <w:pStyle w:val="TableContents"/>
              <w:bidi w:val="0"/>
              <w:spacing w:before="161" w:after="283"/>
              <w:ind w:left="0" w:right="0" w:firstLine="134"/>
              <w:jc w:val="left"/>
              <w:rPr>
                <w:rFonts w:ascii="Times New Roman" w:hAnsi="Times New Roman"/>
                <w:color w:val="000000"/>
                <w:sz w:val="20"/>
              </w:rPr>
            </w:pPr>
            <w:r>
              <w:rPr>
                <w:rFonts w:ascii="Times New Roman" w:hAnsi="Times New Roman"/>
                <w:color w:val="000000"/>
                <w:sz w:val="20"/>
              </w:rPr>
              <w:t>$______</w:t>
            </w:r>
          </w:p>
        </w:tc>
        <w:tc>
          <w:tcPr>
            <w:tcW w:w="10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90" w:type="dxa"/>
            <w:tcBorders/>
            <w:tcMar>
              <w:top w:w="0" w:type="dxa"/>
              <w:left w:w="0" w:type="dxa"/>
              <w:bottom w:w="0" w:type="dxa"/>
              <w:right w:w="0" w:type="dxa"/>
            </w:tcMar>
            <w:vAlign w:val="center"/>
          </w:tcPr>
          <w:p>
            <w:pPr>
              <w:pStyle w:val="TableContents"/>
              <w:bidi w:val="0"/>
              <w:spacing w:before="0" w:after="283"/>
              <w:ind w:left="0" w:right="0" w:firstLine="46"/>
              <w:jc w:val="left"/>
              <w:rPr/>
            </w:pPr>
            <w:r>
              <w:rPr/>
              <w:t> </w:t>
            </w:r>
          </w:p>
        </w:tc>
        <w:tc>
          <w:tcPr>
            <w:tcW w:w="4622" w:type="dxa"/>
            <w:tcBorders/>
            <w:tcMar>
              <w:top w:w="0" w:type="dxa"/>
              <w:left w:w="0" w:type="dxa"/>
              <w:bottom w:w="0" w:type="dxa"/>
              <w:right w:w="0" w:type="dxa"/>
            </w:tcMar>
            <w:vAlign w:val="center"/>
          </w:tcPr>
          <w:p>
            <w:pPr>
              <w:pStyle w:val="TableContents"/>
              <w:bidi w:val="0"/>
              <w:spacing w:before="0" w:after="283"/>
              <w:ind w:left="0" w:right="0" w:firstLine="46"/>
              <w:jc w:val="left"/>
              <w:rPr>
                <w:rFonts w:ascii="Times New Roman" w:hAnsi="Times New Roman"/>
                <w:color w:val="000000"/>
                <w:sz w:val="20"/>
              </w:rPr>
            </w:pPr>
            <w:r>
              <w:rPr>
                <w:rFonts w:ascii="Times New Roman" w:hAnsi="Times New Roman"/>
                <w:color w:val="000000"/>
                <w:sz w:val="20"/>
              </w:rPr>
              <w:t>VESTING SCHEDULE</w:t>
            </w:r>
          </w:p>
        </w:tc>
        <w:tc>
          <w:tcPr>
            <w:tcW w:w="1076"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r>
      <w:tr>
        <w:trPr/>
        <w:tc>
          <w:tcPr>
            <w:tcW w:w="2190" w:type="dxa"/>
            <w:tcBorders/>
            <w:tcMar>
              <w:top w:w="0" w:type="dxa"/>
              <w:left w:w="0" w:type="dxa"/>
              <w:bottom w:w="0" w:type="dxa"/>
              <w:right w:w="0" w:type="dxa"/>
            </w:tcMar>
            <w:vAlign w:val="center"/>
          </w:tcPr>
          <w:p>
            <w:pPr>
              <w:pStyle w:val="TableContents"/>
              <w:bidi w:val="0"/>
              <w:spacing w:before="182" w:after="283"/>
              <w:ind w:left="0" w:right="0" w:firstLine="46"/>
              <w:jc w:val="left"/>
              <w:rPr>
                <w:rFonts w:ascii="Times New Roman" w:hAnsi="Times New Roman"/>
                <w:b/>
                <w:color w:val="000000"/>
                <w:sz w:val="20"/>
              </w:rPr>
            </w:pPr>
            <w:r>
              <w:rPr>
                <w:rFonts w:ascii="Times New Roman" w:hAnsi="Times New Roman"/>
                <w:b/>
                <w:color w:val="000000"/>
                <w:sz w:val="20"/>
              </w:rPr>
              <w:t>Vesting Date</w:t>
            </w:r>
          </w:p>
        </w:tc>
        <w:tc>
          <w:tcPr>
            <w:tcW w:w="4622" w:type="dxa"/>
            <w:tcBorders/>
            <w:tcMar>
              <w:top w:w="0" w:type="dxa"/>
              <w:left w:w="0" w:type="dxa"/>
              <w:bottom w:w="0" w:type="dxa"/>
              <w:right w:w="0" w:type="dxa"/>
            </w:tcMar>
            <w:vAlign w:val="center"/>
          </w:tcPr>
          <w:p>
            <w:pPr>
              <w:pStyle w:val="TableContents"/>
              <w:bidi w:val="0"/>
              <w:spacing w:before="182" w:after="283"/>
              <w:ind w:left="0" w:right="0" w:firstLine="46"/>
              <w:jc w:val="left"/>
              <w:rPr>
                <w:rFonts w:ascii="Times New Roman" w:hAnsi="Times New Roman"/>
                <w:b/>
                <w:color w:val="000000"/>
                <w:sz w:val="20"/>
              </w:rPr>
            </w:pPr>
            <w:r>
              <w:rPr>
                <w:rFonts w:ascii="Times New Roman" w:hAnsi="Times New Roman"/>
                <w:b/>
                <w:color w:val="000000"/>
                <w:sz w:val="20"/>
              </w:rPr>
              <w:t>No. of Shares</w:t>
            </w:r>
          </w:p>
        </w:tc>
        <w:tc>
          <w:tcPr>
            <w:tcW w:w="1076" w:type="dxa"/>
            <w:tcBorders/>
            <w:tcMar>
              <w:top w:w="0" w:type="dxa"/>
              <w:left w:w="0" w:type="dxa"/>
              <w:bottom w:w="0" w:type="dxa"/>
              <w:right w:w="0" w:type="dxa"/>
            </w:tcMar>
            <w:vAlign w:val="center"/>
          </w:tcPr>
          <w:p>
            <w:pPr>
              <w:pStyle w:val="TableContents"/>
              <w:bidi w:val="0"/>
              <w:spacing w:before="182" w:after="283"/>
              <w:ind w:left="0" w:right="0" w:firstLine="175"/>
              <w:jc w:val="left"/>
              <w:rPr>
                <w:rFonts w:ascii="Times New Roman" w:hAnsi="Times New Roman"/>
                <w:b/>
                <w:color w:val="000000"/>
                <w:sz w:val="20"/>
              </w:rPr>
            </w:pPr>
            <w:r>
              <w:rPr>
                <w:rFonts w:ascii="Times New Roman" w:hAnsi="Times New Roman"/>
                <w:b/>
                <w:color w:val="000000"/>
                <w:sz w:val="20"/>
              </w:rPr>
              <w:t>Percent</w:t>
            </w:r>
          </w:p>
        </w:tc>
      </w:tr>
      <w:tr>
        <w:trPr/>
        <w:tc>
          <w:tcPr>
            <w:tcW w:w="2190" w:type="dxa"/>
            <w:tcBorders/>
            <w:tcMar>
              <w:top w:w="0" w:type="dxa"/>
              <w:left w:w="0" w:type="dxa"/>
              <w:bottom w:w="0" w:type="dxa"/>
              <w:right w:w="0" w:type="dxa"/>
            </w:tcMar>
            <w:vAlign w:val="center"/>
          </w:tcPr>
          <w:p>
            <w:pPr>
              <w:pStyle w:val="TableContents"/>
              <w:bidi w:val="0"/>
              <w:spacing w:before="18" w:after="283"/>
              <w:ind w:left="0" w:right="0" w:firstLine="46"/>
              <w:jc w:val="left"/>
              <w:rPr>
                <w:rFonts w:ascii="Times New Roman" w:hAnsi="Times New Roman"/>
                <w:color w:val="000000"/>
                <w:sz w:val="20"/>
              </w:rPr>
            </w:pPr>
            <w:r>
              <w:rPr>
                <w:rFonts w:ascii="Times New Roman" w:hAnsi="Times New Roman"/>
                <w:color w:val="000000"/>
                <w:sz w:val="20"/>
              </w:rPr>
              <w:t>__/__/20__</w:t>
            </w:r>
          </w:p>
        </w:tc>
        <w:tc>
          <w:tcPr>
            <w:tcW w:w="4622" w:type="dxa"/>
            <w:tcBorders/>
            <w:tcMar>
              <w:top w:w="0" w:type="dxa"/>
              <w:left w:w="0" w:type="dxa"/>
              <w:bottom w:w="0" w:type="dxa"/>
              <w:right w:w="0" w:type="dxa"/>
            </w:tcMar>
            <w:vAlign w:val="center"/>
          </w:tcPr>
          <w:p>
            <w:pPr>
              <w:pStyle w:val="TableContents"/>
              <w:bidi w:val="0"/>
              <w:spacing w:before="18" w:after="283"/>
              <w:ind w:left="0" w:right="0" w:firstLine="35"/>
              <w:jc w:val="both"/>
              <w:rPr/>
            </w:pPr>
            <w:r>
              <w:rPr/>
              <w:t> </w:t>
            </w:r>
          </w:p>
        </w:tc>
        <w:tc>
          <w:tcPr>
            <w:tcW w:w="1076" w:type="dxa"/>
            <w:tcBorders/>
            <w:tcMar>
              <w:top w:w="0" w:type="dxa"/>
              <w:left w:w="0" w:type="dxa"/>
              <w:bottom w:w="0" w:type="dxa"/>
              <w:right w:w="0" w:type="dxa"/>
            </w:tcMar>
            <w:vAlign w:val="center"/>
          </w:tcPr>
          <w:p>
            <w:pPr>
              <w:pStyle w:val="TableContents"/>
              <w:bidi w:val="0"/>
              <w:spacing w:before="18" w:after="283"/>
              <w:ind w:left="0" w:right="0" w:firstLine="175"/>
              <w:jc w:val="left"/>
              <w:rPr>
                <w:rFonts w:ascii="Times New Roman" w:hAnsi="Times New Roman"/>
                <w:color w:val="000000"/>
                <w:sz w:val="20"/>
              </w:rPr>
            </w:pPr>
            <w:r>
              <w:rPr>
                <w:rFonts w:ascii="Times New Roman" w:hAnsi="Times New Roman"/>
                <w:color w:val="000000"/>
                <w:sz w:val="20"/>
              </w:rPr>
              <w:t>[______]</w:t>
            </w:r>
          </w:p>
        </w:tc>
      </w:tr>
      <w:tr>
        <w:trPr/>
        <w:tc>
          <w:tcPr>
            <w:tcW w:w="2190" w:type="dxa"/>
            <w:tcBorders/>
            <w:tcMar>
              <w:top w:w="0" w:type="dxa"/>
              <w:left w:w="0" w:type="dxa"/>
              <w:bottom w:w="0" w:type="dxa"/>
              <w:right w:w="0" w:type="dxa"/>
            </w:tcMar>
            <w:vAlign w:val="center"/>
          </w:tcPr>
          <w:p>
            <w:pPr>
              <w:pStyle w:val="TableContents"/>
              <w:bidi w:val="0"/>
              <w:spacing w:before="18" w:after="283"/>
              <w:ind w:left="0" w:right="0" w:firstLine="46"/>
              <w:jc w:val="left"/>
              <w:rPr>
                <w:rFonts w:ascii="Times New Roman" w:hAnsi="Times New Roman"/>
                <w:color w:val="000000"/>
                <w:sz w:val="20"/>
              </w:rPr>
            </w:pPr>
            <w:r>
              <w:rPr>
                <w:rFonts w:ascii="Times New Roman" w:hAnsi="Times New Roman"/>
                <w:color w:val="000000"/>
                <w:sz w:val="20"/>
              </w:rPr>
              <w:t>[___________]</w:t>
            </w:r>
          </w:p>
        </w:tc>
        <w:tc>
          <w:tcPr>
            <w:tcW w:w="4622" w:type="dxa"/>
            <w:tcBorders/>
            <w:tcMar>
              <w:top w:w="0" w:type="dxa"/>
              <w:left w:w="0" w:type="dxa"/>
              <w:bottom w:w="0" w:type="dxa"/>
              <w:right w:w="0" w:type="dxa"/>
            </w:tcMar>
            <w:vAlign w:val="center"/>
          </w:tcPr>
          <w:p>
            <w:pPr>
              <w:pStyle w:val="TableContents"/>
              <w:bidi w:val="0"/>
              <w:spacing w:before="18" w:after="283"/>
              <w:ind w:left="0" w:right="0" w:firstLine="35"/>
              <w:jc w:val="both"/>
              <w:rPr/>
            </w:pPr>
            <w:r>
              <w:rPr/>
              <w:t> </w:t>
            </w:r>
          </w:p>
        </w:tc>
        <w:tc>
          <w:tcPr>
            <w:tcW w:w="1076" w:type="dxa"/>
            <w:tcBorders/>
            <w:tcMar>
              <w:top w:w="0" w:type="dxa"/>
              <w:left w:w="0" w:type="dxa"/>
              <w:bottom w:w="0" w:type="dxa"/>
              <w:right w:w="0" w:type="dxa"/>
            </w:tcMar>
            <w:vAlign w:val="center"/>
          </w:tcPr>
          <w:p>
            <w:pPr>
              <w:pStyle w:val="TableContents"/>
              <w:bidi w:val="0"/>
              <w:spacing w:before="18" w:after="283"/>
              <w:ind w:left="0" w:right="0" w:firstLine="175"/>
              <w:jc w:val="left"/>
              <w:rPr>
                <w:rFonts w:ascii="Times New Roman" w:hAnsi="Times New Roman"/>
                <w:color w:val="000000"/>
                <w:sz w:val="20"/>
              </w:rPr>
            </w:pPr>
            <w:r>
              <w:rPr>
                <w:rFonts w:ascii="Times New Roman" w:hAnsi="Times New Roman"/>
                <w:color w:val="000000"/>
                <w:sz w:val="20"/>
              </w:rPr>
              <w:t>[______]</w:t>
            </w:r>
          </w:p>
        </w:tc>
      </w:tr>
      <w:tr>
        <w:trPr/>
        <w:tc>
          <w:tcPr>
            <w:tcW w:w="2190" w:type="dxa"/>
            <w:tcBorders/>
            <w:tcMar>
              <w:top w:w="0" w:type="dxa"/>
              <w:left w:w="0" w:type="dxa"/>
              <w:bottom w:w="0" w:type="dxa"/>
              <w:right w:w="0" w:type="dxa"/>
            </w:tcMar>
            <w:vAlign w:val="center"/>
          </w:tcPr>
          <w:p>
            <w:pPr>
              <w:pStyle w:val="TableContents"/>
              <w:bidi w:val="0"/>
              <w:spacing w:before="18" w:after="283"/>
              <w:ind w:left="0" w:right="0" w:firstLine="46"/>
              <w:jc w:val="left"/>
              <w:rPr>
                <w:rFonts w:ascii="Times New Roman" w:hAnsi="Times New Roman"/>
                <w:color w:val="000000"/>
                <w:sz w:val="20"/>
              </w:rPr>
            </w:pPr>
            <w:r>
              <w:rPr>
                <w:rFonts w:ascii="Times New Roman" w:hAnsi="Times New Roman"/>
                <w:color w:val="000000"/>
                <w:sz w:val="20"/>
              </w:rPr>
              <w:t>[___________]</w:t>
            </w:r>
          </w:p>
        </w:tc>
        <w:tc>
          <w:tcPr>
            <w:tcW w:w="4622" w:type="dxa"/>
            <w:tcBorders/>
            <w:tcMar>
              <w:top w:w="0" w:type="dxa"/>
              <w:left w:w="0" w:type="dxa"/>
              <w:bottom w:w="0" w:type="dxa"/>
              <w:right w:w="0" w:type="dxa"/>
            </w:tcMar>
            <w:vAlign w:val="center"/>
          </w:tcPr>
          <w:p>
            <w:pPr>
              <w:pStyle w:val="TableContents"/>
              <w:bidi w:val="0"/>
              <w:spacing w:before="18" w:after="283"/>
              <w:ind w:left="0" w:right="0" w:firstLine="35"/>
              <w:jc w:val="both"/>
              <w:rPr/>
            </w:pPr>
            <w:r>
              <w:rPr/>
              <w:t> </w:t>
            </w:r>
          </w:p>
        </w:tc>
        <w:tc>
          <w:tcPr>
            <w:tcW w:w="1076" w:type="dxa"/>
            <w:tcBorders/>
            <w:tcMar>
              <w:top w:w="0" w:type="dxa"/>
              <w:left w:w="0" w:type="dxa"/>
              <w:bottom w:w="0" w:type="dxa"/>
              <w:right w:w="0" w:type="dxa"/>
            </w:tcMar>
            <w:vAlign w:val="center"/>
          </w:tcPr>
          <w:p>
            <w:pPr>
              <w:pStyle w:val="TableContents"/>
              <w:bidi w:val="0"/>
              <w:spacing w:before="18" w:after="283"/>
              <w:ind w:left="0" w:right="0" w:firstLine="175"/>
              <w:jc w:val="left"/>
              <w:rPr>
                <w:rFonts w:ascii="Times New Roman" w:hAnsi="Times New Roman"/>
                <w:color w:val="000000"/>
                <w:sz w:val="20"/>
              </w:rPr>
            </w:pPr>
            <w:r>
              <w:rPr>
                <w:rFonts w:ascii="Times New Roman" w:hAnsi="Times New Roman"/>
                <w:color w:val="000000"/>
                <w:sz w:val="20"/>
              </w:rPr>
              <w:t>[______]</w:t>
            </w:r>
          </w:p>
        </w:tc>
      </w:tr>
      <w:tr>
        <w:trPr/>
        <w:tc>
          <w:tcPr>
            <w:tcW w:w="2190" w:type="dxa"/>
            <w:tcBorders/>
            <w:tcMar>
              <w:top w:w="0" w:type="dxa"/>
              <w:left w:w="0" w:type="dxa"/>
              <w:bottom w:w="0" w:type="dxa"/>
              <w:right w:w="0" w:type="dxa"/>
            </w:tcMar>
            <w:vAlign w:val="center"/>
          </w:tcPr>
          <w:p>
            <w:pPr>
              <w:pStyle w:val="TableContents"/>
              <w:bidi w:val="0"/>
              <w:spacing w:before="18" w:after="283"/>
              <w:ind w:left="0" w:right="0" w:firstLine="46"/>
              <w:jc w:val="left"/>
              <w:rPr>
                <w:rFonts w:ascii="Times New Roman" w:hAnsi="Times New Roman"/>
                <w:color w:val="000000"/>
                <w:sz w:val="20"/>
              </w:rPr>
            </w:pPr>
            <w:r>
              <w:rPr>
                <w:rFonts w:ascii="Times New Roman" w:hAnsi="Times New Roman"/>
                <w:color w:val="000000"/>
                <w:sz w:val="20"/>
              </w:rPr>
              <w:t>[___________]</w:t>
            </w:r>
          </w:p>
        </w:tc>
        <w:tc>
          <w:tcPr>
            <w:tcW w:w="4622" w:type="dxa"/>
            <w:tcBorders/>
            <w:tcMar>
              <w:top w:w="0" w:type="dxa"/>
              <w:left w:w="0" w:type="dxa"/>
              <w:bottom w:w="0" w:type="dxa"/>
              <w:right w:w="0" w:type="dxa"/>
            </w:tcMar>
            <w:vAlign w:val="center"/>
          </w:tcPr>
          <w:p>
            <w:pPr>
              <w:pStyle w:val="TableContents"/>
              <w:bidi w:val="0"/>
              <w:spacing w:before="18" w:after="283"/>
              <w:ind w:left="0" w:right="0" w:firstLine="35"/>
              <w:jc w:val="both"/>
              <w:rPr/>
            </w:pPr>
            <w:r>
              <w:rPr/>
              <w:t> </w:t>
            </w:r>
          </w:p>
        </w:tc>
        <w:tc>
          <w:tcPr>
            <w:tcW w:w="1076" w:type="dxa"/>
            <w:tcBorders/>
            <w:tcMar>
              <w:top w:w="0" w:type="dxa"/>
              <w:left w:w="0" w:type="dxa"/>
              <w:bottom w:w="0" w:type="dxa"/>
              <w:right w:w="0" w:type="dxa"/>
            </w:tcMar>
            <w:vAlign w:val="center"/>
          </w:tcPr>
          <w:p>
            <w:pPr>
              <w:pStyle w:val="TableContents"/>
              <w:bidi w:val="0"/>
              <w:spacing w:before="18" w:after="283"/>
              <w:ind w:left="0" w:right="0" w:firstLine="35"/>
              <w:jc w:val="left"/>
              <w:rPr>
                <w:rFonts w:ascii="Times New Roman" w:hAnsi="Times New Roman"/>
                <w:color w:val="000000"/>
                <w:sz w:val="20"/>
              </w:rPr>
            </w:pPr>
            <w:r>
              <w:rPr>
                <w:rFonts w:ascii="Times New Roman" w:hAnsi="Times New Roman"/>
                <w:color w:val="000000"/>
                <w:sz w:val="20"/>
              </w:rPr>
              <w:t>[______]</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
        </w:rPr>
      </w:pPr>
      <w:r>
        <w:rPr>
          <w:rFonts w:ascii="Times New Roman" w:hAnsi="Times New Roman"/>
          <w:color w:val="000000"/>
          <w:sz w:val="2"/>
        </w:rPr>
        <w:t>DOCPROPERTY iManageFooter \* MERGEFORMAT #5446616v1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u w:val="single"/>
        </w:rPr>
        <w:t>EXHIBIT B</w:t>
      </w:r>
      <w:r>
        <w:rPr>
          <w:rFonts w:ascii="Times New Roman" w:hAnsi="Times New Roman"/>
          <w:color w:val="000000"/>
          <w:sz w:val="20"/>
        </w:rPr>
        <w:t xml:space="preserve"> </w:t>
      </w:r>
      <w:r>
        <w:rPr>
          <w:rFonts w:ascii="Times New Roman" w:hAnsi="Times New Roman"/>
          <w:b/>
          <w:color w:val="000000"/>
          <w:sz w:val="20"/>
        </w:rPr>
        <w:t>ARCADIA BIOSCIENCES, INC.</w:t>
      </w:r>
    </w:p>
    <w:p>
      <w:pPr>
        <w:pStyle w:val="TextBody"/>
        <w:bidi w:val="0"/>
        <w:jc w:val="left"/>
        <w:rPr>
          <w:rFonts w:ascii="Times New Roman" w:hAnsi="Times New Roman"/>
          <w:b/>
          <w:color w:val="000000"/>
          <w:sz w:val="20"/>
        </w:rPr>
      </w:pPr>
      <w:r>
        <w:rPr>
          <w:rFonts w:ascii="Times New Roman" w:hAnsi="Times New Roman"/>
          <w:b/>
          <w:color w:val="000000"/>
          <w:sz w:val="20"/>
        </w:rPr>
        <w:t>2026 OMNIBUS EQUITY INCENTIVE PLAN EXERCISE NOTICE</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SUBJECT TO VERFICATION BY ADMINISTRATOR</w:t>
      </w:r>
    </w:p>
    <w:p>
      <w:pPr>
        <w:pStyle w:val="TextBody"/>
        <w:bidi w:val="0"/>
        <w:spacing w:before="235"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Arcadia Biosciences, Inc.</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5956 Sherry Lane, Suite 2000</w:t>
      </w:r>
    </w:p>
    <w:p>
      <w:pPr>
        <w:pStyle w:val="TextBody"/>
        <w:bidi w:val="0"/>
        <w:jc w:val="left"/>
        <w:rPr>
          <w:rFonts w:ascii="Times New Roman" w:hAnsi="Times New Roman"/>
          <w:color w:val="000000"/>
          <w:sz w:val="20"/>
        </w:rPr>
      </w:pPr>
      <w:r>
        <w:rPr>
          <w:rFonts w:ascii="Times New Roman" w:hAnsi="Times New Roman"/>
          <w:color w:val="000000"/>
          <w:sz w:val="20"/>
        </w:rPr>
        <w:t>Dallas, TX 75225</w:t>
      </w:r>
    </w:p>
    <w:p>
      <w:pPr>
        <w:pStyle w:val="TextBody"/>
        <w:bidi w:val="0"/>
        <w:jc w:val="left"/>
        <w:rPr>
          <w:rFonts w:ascii="Times New Roman" w:hAnsi="Times New Roman"/>
          <w:color w:val="000000"/>
          <w:sz w:val="20"/>
        </w:rPr>
      </w:pPr>
      <w:r>
        <w:rPr>
          <w:rFonts w:ascii="Times New Roman" w:hAnsi="Times New Roman"/>
          <w:color w:val="000000"/>
          <w:sz w:val="20"/>
        </w:rPr>
        <w:t>Attention: Secretary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Exercise of Option</w:t>
      </w:r>
      <w:r>
        <w:rPr>
          <w:rFonts w:ascii="Times New Roman" w:hAnsi="Times New Roman"/>
          <w:color w:val="000000"/>
          <w:sz w:val="20"/>
        </w:rPr>
        <w:t>. Effective as of today, ,</w:t>
      </w:r>
    </w:p>
    <w:p>
      <w:pPr>
        <w:pStyle w:val="TextBody"/>
        <w:bidi w:val="0"/>
        <w:jc w:val="left"/>
        <w:rPr>
          <w:rFonts w:ascii="Times New Roman" w:hAnsi="Times New Roman"/>
          <w:sz w:val="20"/>
        </w:rPr>
      </w:pPr>
      <w:r>
        <w:rPr>
          <w:rFonts w:ascii="Times New Roman" w:hAnsi="Times New Roman"/>
          <w:color w:val="000000"/>
          <w:sz w:val="20"/>
        </w:rPr>
        <w:t>, the undersigned (“</w:t>
      </w:r>
      <w:r>
        <w:rPr>
          <w:rFonts w:ascii="Times New Roman" w:hAnsi="Times New Roman"/>
          <w:b/>
          <w:i/>
          <w:color w:val="000000"/>
          <w:sz w:val="20"/>
        </w:rPr>
        <w:t>Purchaser</w:t>
      </w:r>
      <w:r>
        <w:rPr>
          <w:rFonts w:ascii="Times New Roman" w:hAnsi="Times New Roman"/>
          <w:color w:val="000000"/>
          <w:sz w:val="20"/>
        </w:rPr>
        <w:t>”) hereby elects to purchase shares (the “</w:t>
      </w:r>
      <w:r>
        <w:rPr>
          <w:rFonts w:ascii="Times New Roman" w:hAnsi="Times New Roman"/>
          <w:b/>
          <w:i/>
          <w:color w:val="000000"/>
          <w:sz w:val="20"/>
        </w:rPr>
        <w:t>Shares</w:t>
      </w:r>
      <w:r>
        <w:rPr>
          <w:rFonts w:ascii="Times New Roman" w:hAnsi="Times New Roman"/>
          <w:color w:val="000000"/>
          <w:sz w:val="20"/>
        </w:rPr>
        <w:t>”) of the Common Stock of Arcadia Biosciences, Inc. (the “</w:t>
      </w:r>
      <w:r>
        <w:rPr>
          <w:rFonts w:ascii="Times New Roman" w:hAnsi="Times New Roman"/>
          <w:b/>
          <w:i/>
          <w:color w:val="000000"/>
          <w:sz w:val="20"/>
        </w:rPr>
        <w:t>Company</w:t>
      </w:r>
      <w:r>
        <w:rPr>
          <w:rFonts w:ascii="Times New Roman" w:hAnsi="Times New Roman"/>
          <w:color w:val="000000"/>
          <w:sz w:val="20"/>
        </w:rPr>
        <w:t>”) under and pursuant to the 2026 Omnibus Equity Incentive Plan (the “</w:t>
      </w:r>
      <w:r>
        <w:rPr>
          <w:rFonts w:ascii="Times New Roman" w:hAnsi="Times New Roman"/>
          <w:b/>
          <w:i/>
          <w:color w:val="000000"/>
          <w:sz w:val="20"/>
        </w:rPr>
        <w:t>Plan</w:t>
      </w:r>
      <w:r>
        <w:rPr>
          <w:rFonts w:ascii="Times New Roman" w:hAnsi="Times New Roman"/>
          <w:color w:val="000000"/>
          <w:sz w:val="20"/>
        </w:rPr>
        <w:t>”) and the Stock Option Award Agreement dated _________, 20__ (the “</w:t>
      </w:r>
      <w:r>
        <w:rPr>
          <w:rFonts w:ascii="Times New Roman" w:hAnsi="Times New Roman"/>
          <w:b/>
          <w:i/>
          <w:color w:val="000000"/>
          <w:sz w:val="20"/>
        </w:rPr>
        <w:t>Award Agreement</w:t>
      </w:r>
      <w:r>
        <w:rPr>
          <w:rFonts w:ascii="Times New Roman" w:hAnsi="Times New Roman"/>
          <w:color w:val="000000"/>
          <w:sz w:val="20"/>
        </w:rPr>
        <w:t>”). The purchase price for the Shares will be XX Dollars (US$XX.00) per share, as required by the Award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Delivery of Payment</w:t>
      </w:r>
      <w:r>
        <w:rPr>
          <w:rFonts w:ascii="Times New Roman" w:hAnsi="Times New Roman"/>
          <w:color w:val="000000"/>
          <w:sz w:val="20"/>
        </w:rPr>
        <w:t>. Purchaser herewith delivers to the Company the full purchase price of the Shares and any required tax withholding to be paid in connection with the exercise of the Option.</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241" w:after="283"/>
        <w:jc w:val="left"/>
        <w:rPr>
          <w:rFonts w:ascii="Times New Roman" w:hAnsi="Times New Roman"/>
          <w:sz w:val="20"/>
        </w:rPr>
      </w:pPr>
      <w:r>
        <w:rPr>
          <w:rFonts w:ascii="Times New Roman" w:hAnsi="Times New Roman"/>
          <w:color w:val="000000"/>
          <w:sz w:val="20"/>
          <w:u w:val="single"/>
        </w:rPr>
        <w:t>Representations of Purchaser</w:t>
      </w:r>
      <w:r>
        <w:rPr>
          <w:rFonts w:ascii="Times New Roman" w:hAnsi="Times New Roman"/>
          <w:color w:val="000000"/>
          <w:sz w:val="20"/>
        </w:rPr>
        <w:t>. Purchaser acknowledges that Purchaser has received, read and understood the Plan and the Award Agreement and agrees to abide by and be bound by their terms and conditions.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Rights as Stockholder</w:t>
      </w:r>
      <w:r>
        <w:rPr>
          <w:rFonts w:ascii="Times New Roman" w:hAnsi="Times New Roman"/>
          <w:color w:val="000000"/>
          <w:sz w:val="20"/>
        </w:rPr>
        <w:t>.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13 of the Plan.</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5.</w:t>
      </w:r>
    </w:p>
    <w:p>
      <w:pPr>
        <w:pStyle w:val="TextBody"/>
        <w:bidi w:val="0"/>
        <w:spacing w:before="241" w:after="283"/>
        <w:jc w:val="left"/>
        <w:rPr>
          <w:rFonts w:ascii="Times New Roman" w:hAnsi="Times New Roman"/>
          <w:sz w:val="20"/>
        </w:rPr>
      </w:pPr>
      <w:r>
        <w:rPr>
          <w:rFonts w:ascii="Times New Roman" w:hAnsi="Times New Roman"/>
          <w:color w:val="000000"/>
          <w:sz w:val="20"/>
          <w:u w:val="single"/>
        </w:rPr>
        <w:t>Tax Consultation</w:t>
      </w:r>
      <w:r>
        <w:rPr>
          <w:rFonts w:ascii="Times New Roman" w:hAnsi="Times New Roman"/>
          <w:color w:val="000000"/>
          <w:sz w:val="20"/>
        </w:rPr>
        <w:t>. Purchaser understands that Purchaser may suffer adverse tax consequences as a result of Purchaser’s purchase or disposition of the Shares. Purchaser represents that Purchaser has consulted with any tax consultants Purchaser deems advisable in connection with the purchase or disposition of the Shares and that Purchaser is not relying on the Company for any tax advice.</w:t>
      </w:r>
    </w:p>
    <w:p>
      <w:pPr>
        <w:pStyle w:val="TextBody"/>
        <w:bidi w:val="0"/>
        <w:jc w:val="left"/>
        <w:rPr/>
      </w:pPr>
      <w:r>
        <w:rPr/>
        <w:t> </w:t>
      </w:r>
    </w:p>
    <w:p>
      <w:pPr>
        <w:pStyle w:val="TextBody"/>
        <w:bidi w:val="0"/>
        <w:spacing w:before="10" w:after="283"/>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DOCPROPERTY iManageFooter \* MERGEFORMAT #5446616v1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6.</w:t>
      </w:r>
    </w:p>
    <w:p>
      <w:pPr>
        <w:pStyle w:val="TextBody"/>
        <w:bidi w:val="0"/>
        <w:spacing w:before="60" w:after="283"/>
        <w:jc w:val="left"/>
        <w:rPr>
          <w:rFonts w:ascii="Times New Roman" w:hAnsi="Times New Roman"/>
          <w:sz w:val="20"/>
        </w:rPr>
      </w:pPr>
      <w:r>
        <w:rPr>
          <w:rFonts w:ascii="Times New Roman" w:hAnsi="Times New Roman"/>
          <w:color w:val="000000"/>
          <w:sz w:val="20"/>
          <w:u w:val="single"/>
        </w:rPr>
        <w:t>Entire Agreement; Governing Law</w:t>
      </w:r>
      <w:r>
        <w:rPr>
          <w:rFonts w:ascii="Times New Roman" w:hAnsi="Times New Roman"/>
          <w:color w:val="000000"/>
          <w:sz w:val="20"/>
        </w:rPr>
        <w:t>. The Plan and Award Agreement are incorporated herein by reference. This Exercise Notice, the Plan and the Award Agreement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agreement is governed by the internal substantive laws, but not the choice of law rules, of the State of Delaware.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Submitted by: Accepted by: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PURCHASER ARCADIA BIOSCIENCES, INC.</w:t>
      </w:r>
    </w:p>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_____________________________ ___________________________</w:t>
      </w:r>
    </w:p>
    <w:p>
      <w:pPr>
        <w:pStyle w:val="TextBody"/>
        <w:bidi w:val="0"/>
        <w:jc w:val="left"/>
        <w:rPr>
          <w:rFonts w:ascii="Times New Roman" w:hAnsi="Times New Roman"/>
          <w:color w:val="000000"/>
          <w:sz w:val="20"/>
        </w:rPr>
      </w:pPr>
      <w:r>
        <w:rPr>
          <w:rFonts w:ascii="Times New Roman" w:hAnsi="Times New Roman"/>
          <w:color w:val="000000"/>
          <w:sz w:val="20"/>
        </w:rPr>
        <w:t>By:</w:t>
      </w:r>
    </w:p>
    <w:p>
      <w:pPr>
        <w:pStyle w:val="TextBody"/>
        <w:bidi w:val="0"/>
        <w:jc w:val="left"/>
        <w:rPr>
          <w:rFonts w:ascii="Times New Roman" w:hAnsi="Times New Roman"/>
          <w:color w:val="000000"/>
          <w:sz w:val="20"/>
        </w:rPr>
      </w:pPr>
      <w:r>
        <w:rPr>
          <w:rFonts w:ascii="Times New Roman" w:hAnsi="Times New Roman"/>
          <w:color w:val="000000"/>
          <w:sz w:val="20"/>
        </w:rPr>
        <w:t xml:space="preserve">Title: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Residence Address: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______________</w:t>
      </w:r>
    </w:p>
    <w:p>
      <w:pPr>
        <w:pStyle w:val="TextBody"/>
        <w:bidi w:val="0"/>
        <w:jc w:val="left"/>
        <w:rPr>
          <w:rFonts w:ascii="Times New Roman" w:hAnsi="Times New Roman"/>
          <w:color w:val="000000"/>
          <w:sz w:val="20"/>
        </w:rPr>
      </w:pPr>
      <w:r>
        <w:rPr>
          <w:rFonts w:ascii="Times New Roman" w:hAnsi="Times New Roman"/>
          <w:color w:val="000000"/>
          <w:sz w:val="20"/>
        </w:rPr>
        <w:t>_______________</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received: ____________</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
        </w:rPr>
      </w:pPr>
      <w:r>
        <w:rPr>
          <w:rFonts w:ascii="Times New Roman" w:hAnsi="Times New Roman"/>
          <w:color w:val="000000"/>
          <w:sz w:val="2"/>
        </w:rPr>
        <w:t>DOCPROPERTY iManageFooter \* MERGEFORMAT #5446616v1</w:t>
      </w:r>
    </w:p>
    <w:p>
      <w:pPr>
        <w:pStyle w:val="HorizontalLine"/>
        <w:pBdr>
          <w:bottom w:val="double" w:sz="2" w:space="0" w:color="808080"/>
        </w:pBdr>
        <w:bidi w:val="0"/>
        <w:spacing w:before="0" w:after="283"/>
        <w:jc w:val="left"/>
        <w:rPr/>
      </w:pPr>
      <w:r>
        <w:rPr/>
      </w:r>
    </w:p>
    <w:p>
      <w:pPr>
        <w:pStyle w:val="Heading2"/>
        <w:bidi w:val="0"/>
        <w:jc w:val="right"/>
        <w:rPr>
          <w:rFonts w:ascii="Times New Roman" w:hAnsi="Times New Roman"/>
          <w:color w:val="000000"/>
          <w:sz w:val="22"/>
        </w:rPr>
      </w:pPr>
      <w:bookmarkStart w:id="6" w:name="rkda-ex10_3.htm"/>
      <w:bookmarkStart w:id="7" w:name="ksrkdaex10_3"/>
      <w:bookmarkEnd w:id="6"/>
      <w:bookmarkEnd w:id="7"/>
      <w:r>
        <w:rPr>
          <w:rFonts w:ascii="Times New Roman" w:hAnsi="Times New Roman"/>
          <w:color w:val="000000"/>
          <w:sz w:val="22"/>
        </w:rPr>
        <w:t>Exhibit 10.3</w:t>
      </w:r>
      <w:r>
        <w:br w:type="page"/>
      </w:r>
    </w:p>
    <w:p>
      <w:pPr>
        <w:pStyle w:val="Heading2"/>
        <w:bidi w:val="0"/>
        <w:jc w:val="center"/>
        <w:rPr/>
      </w:pPr>
      <w:r>
        <w:rPr/>
        <w:t> </w:t>
      </w:r>
    </w:p>
    <w:p>
      <w:pPr>
        <w:pStyle w:val="Heading2"/>
        <w:bidi w:val="0"/>
        <w:jc w:val="center"/>
        <w:rPr>
          <w:rFonts w:ascii="Times New Roman" w:hAnsi="Times New Roman"/>
          <w:color w:val="000000"/>
          <w:sz w:val="22"/>
        </w:rPr>
      </w:pPr>
      <w:r>
        <w:rPr>
          <w:rFonts w:ascii="Times New Roman" w:hAnsi="Times New Roman"/>
          <w:color w:val="000000"/>
          <w:sz w:val="22"/>
        </w:rPr>
        <w:t>ARCADIA BIOSCIENCES, INC.</w:t>
      </w:r>
    </w:p>
    <w:p>
      <w:pPr>
        <w:pStyle w:val="TextBody"/>
        <w:bidi w:val="0"/>
        <w:jc w:val="center"/>
        <w:rPr>
          <w:rFonts w:ascii="Times New Roman" w:hAnsi="Times New Roman"/>
          <w:sz w:val="22"/>
        </w:rPr>
      </w:pPr>
      <w:r>
        <w:rPr>
          <w:rFonts w:ascii="Times New Roman" w:hAnsi="Times New Roman"/>
          <w:b/>
          <w:color w:val="000000"/>
          <w:sz w:val="22"/>
        </w:rPr>
        <w:t>2026 OMNIBUS EQUITY INCENTIVE PLAN</w:t>
      </w:r>
      <w:r>
        <w:rPr>
          <w:rFonts w:ascii="Times New Roman" w:hAnsi="Times New Roman"/>
          <w:color w:val="000000"/>
          <w:sz w:val="22"/>
        </w:rPr>
        <w:t xml:space="preserve"> </w:t>
      </w:r>
    </w:p>
    <w:p>
      <w:pPr>
        <w:pStyle w:val="TextBody"/>
        <w:bidi w:val="0"/>
        <w:jc w:val="center"/>
        <w:rPr>
          <w:rFonts w:ascii="Times New Roman" w:hAnsi="Times New Roman"/>
          <w:b/>
          <w:color w:val="000000"/>
          <w:sz w:val="22"/>
        </w:rPr>
      </w:pPr>
      <w:r>
        <w:rPr>
          <w:rFonts w:ascii="Times New Roman" w:hAnsi="Times New Roman"/>
          <w:b/>
          <w:color w:val="000000"/>
          <w:sz w:val="22"/>
        </w:rPr>
        <w:t>STOCK OPTION AWARD AGREEMENT</w:t>
      </w:r>
    </w:p>
    <w:p>
      <w:pPr>
        <w:pStyle w:val="TextBody"/>
        <w:bidi w:val="0"/>
        <w:spacing w:before="120" w:after="283"/>
        <w:jc w:val="both"/>
        <w:rPr>
          <w:rFonts w:ascii="Times New Roman" w:hAnsi="Times New Roman"/>
          <w:sz w:val="22"/>
        </w:rPr>
      </w:pPr>
      <w:r>
        <w:rPr>
          <w:rFonts w:ascii="Times New Roman" w:hAnsi="Times New Roman"/>
          <w:color w:val="000000"/>
          <w:sz w:val="22"/>
        </w:rPr>
        <w:t>Unless otherwise defined herein, the terms defined in the Arcadia Biosciences, Inc. 2026 Omnibus Equity Incentive Plan (the “</w:t>
      </w:r>
      <w:r>
        <w:rPr>
          <w:rFonts w:ascii="Times New Roman" w:hAnsi="Times New Roman"/>
          <w:b/>
          <w:i/>
          <w:color w:val="000000"/>
          <w:sz w:val="22"/>
        </w:rPr>
        <w:t>Plan</w:t>
      </w:r>
      <w:r>
        <w:rPr>
          <w:rFonts w:ascii="Times New Roman" w:hAnsi="Times New Roman"/>
          <w:color w:val="000000"/>
          <w:sz w:val="22"/>
        </w:rPr>
        <w:t>”) will have the same defined meanings in this Stock Option Award Agreement (the “</w:t>
      </w:r>
      <w:r>
        <w:rPr>
          <w:rFonts w:ascii="Times New Roman" w:hAnsi="Times New Roman"/>
          <w:b/>
          <w:i/>
          <w:color w:val="000000"/>
          <w:sz w:val="22"/>
        </w:rPr>
        <w:t>Award Agreement</w:t>
      </w:r>
      <w:r>
        <w:rPr>
          <w:rFonts w:ascii="Times New Roman" w:hAnsi="Times New Roman"/>
          <w:color w:val="000000"/>
          <w:sz w:val="22"/>
        </w:rPr>
        <w:t>”).</w:t>
      </w:r>
    </w:p>
    <w:p>
      <w:pPr>
        <w:pStyle w:val="Heading2"/>
        <w:bidi w:val="0"/>
        <w:spacing w:before="244" w:after="283"/>
        <w:jc w:val="center"/>
        <w:rPr>
          <w:rFonts w:ascii="Times New Roman" w:hAnsi="Times New Roman"/>
          <w:color w:val="000000"/>
          <w:sz w:val="22"/>
          <w:u w:val="single"/>
        </w:rPr>
      </w:pPr>
      <w:r>
        <w:rPr>
          <w:rFonts w:ascii="Times New Roman" w:hAnsi="Times New Roman"/>
          <w:color w:val="000000"/>
          <w:sz w:val="22"/>
          <w:u w:val="single"/>
        </w:rPr>
        <w:t>NOTICE OF STOCK OPTION GRANT</w:t>
      </w:r>
    </w:p>
    <w:p>
      <w:pPr>
        <w:pStyle w:val="TextBody"/>
        <w:bidi w:val="0"/>
        <w:spacing w:before="235" w:after="283"/>
        <w:jc w:val="both"/>
        <w:rPr>
          <w:rFonts w:ascii="Times New Roman" w:hAnsi="Times New Roman"/>
          <w:sz w:val="22"/>
        </w:rPr>
      </w:pPr>
      <w:r>
        <w:rPr>
          <w:rFonts w:ascii="Times New Roman" w:hAnsi="Times New Roman"/>
          <w:color w:val="000000"/>
          <w:sz w:val="22"/>
        </w:rPr>
        <w:t>You (“</w:t>
      </w:r>
      <w:r>
        <w:rPr>
          <w:rFonts w:ascii="Times New Roman" w:hAnsi="Times New Roman"/>
          <w:b/>
          <w:i/>
          <w:color w:val="000000"/>
          <w:sz w:val="22"/>
        </w:rPr>
        <w:t>Participant</w:t>
      </w:r>
      <w:r>
        <w:rPr>
          <w:rFonts w:ascii="Times New Roman" w:hAnsi="Times New Roman"/>
          <w:color w:val="000000"/>
          <w:sz w:val="22"/>
        </w:rPr>
        <w:t>”), as an Outside Director member of Arcadia Biosciences, Inc.’s (the “</w:t>
      </w:r>
      <w:r>
        <w:rPr>
          <w:rFonts w:ascii="Times New Roman" w:hAnsi="Times New Roman"/>
          <w:b/>
          <w:i/>
          <w:color w:val="000000"/>
          <w:sz w:val="22"/>
        </w:rPr>
        <w:t>Company</w:t>
      </w:r>
      <w:r>
        <w:rPr>
          <w:rFonts w:ascii="Times New Roman" w:hAnsi="Times New Roman"/>
          <w:color w:val="000000"/>
          <w:sz w:val="22"/>
        </w:rPr>
        <w:t>”) Board of Directors (the “</w:t>
      </w:r>
      <w:r>
        <w:rPr>
          <w:rFonts w:ascii="Times New Roman" w:hAnsi="Times New Roman"/>
          <w:b/>
          <w:i/>
          <w:color w:val="000000"/>
          <w:sz w:val="22"/>
        </w:rPr>
        <w:t>Board</w:t>
      </w:r>
      <w:r>
        <w:rPr>
          <w:rFonts w:ascii="Times New Roman" w:hAnsi="Times New Roman"/>
          <w:color w:val="000000"/>
          <w:sz w:val="22"/>
        </w:rPr>
        <w:t>”</w:t>
      </w:r>
      <w:r>
        <w:rPr>
          <w:rFonts w:ascii="Times New Roman" w:hAnsi="Times New Roman"/>
          <w:b/>
          <w:color w:val="000000"/>
          <w:sz w:val="22"/>
        </w:rPr>
        <w:t xml:space="preserve">), </w:t>
      </w:r>
      <w:r>
        <w:rPr>
          <w:rFonts w:ascii="Times New Roman" w:hAnsi="Times New Roman"/>
          <w:color w:val="000000"/>
          <w:sz w:val="22"/>
        </w:rPr>
        <w:t>have been granted a Nonstatutory Stock Option (the “</w:t>
      </w:r>
      <w:r>
        <w:rPr>
          <w:rFonts w:ascii="Times New Roman" w:hAnsi="Times New Roman"/>
          <w:b/>
          <w:i/>
          <w:color w:val="000000"/>
          <w:sz w:val="22"/>
        </w:rPr>
        <w:t>Option</w:t>
      </w:r>
      <w:r>
        <w:rPr>
          <w:rFonts w:ascii="Times New Roman" w:hAnsi="Times New Roman"/>
          <w:color w:val="000000"/>
          <w:sz w:val="22"/>
        </w:rPr>
        <w:t>”) to purchase shares (the “</w:t>
      </w:r>
      <w:r>
        <w:rPr>
          <w:rFonts w:ascii="Times New Roman" w:hAnsi="Times New Roman"/>
          <w:b/>
          <w:i/>
          <w:color w:val="000000"/>
          <w:sz w:val="22"/>
        </w:rPr>
        <w:t>Shares</w:t>
      </w:r>
      <w:r>
        <w:rPr>
          <w:rFonts w:ascii="Times New Roman" w:hAnsi="Times New Roman"/>
          <w:color w:val="000000"/>
          <w:sz w:val="22"/>
        </w:rPr>
        <w:t>”) of Common Stock of the Company, subject to the terms and conditions of the Plan and this Award Agreement.</w:t>
      </w:r>
    </w:p>
    <w:p>
      <w:pPr>
        <w:pStyle w:val="TextBody"/>
        <w:bidi w:val="0"/>
        <w:spacing w:before="241" w:after="283"/>
        <w:jc w:val="left"/>
        <w:rPr>
          <w:rFonts w:ascii="Times New Roman" w:hAnsi="Times New Roman"/>
          <w:sz w:val="22"/>
        </w:rPr>
      </w:pPr>
      <w:r>
        <w:rPr>
          <w:rFonts w:ascii="Times New Roman" w:hAnsi="Times New Roman"/>
          <w:color w:val="000000"/>
          <w:sz w:val="22"/>
        </w:rPr>
        <w:t>The date of the award, type of award, vesting schedule, exercise price per share and total number of options awarded are set out on Exhibit A attached to this Award Agreement and/or in your Equiniti (“</w:t>
      </w:r>
      <w:r>
        <w:rPr>
          <w:rFonts w:ascii="Times New Roman" w:hAnsi="Times New Roman"/>
          <w:b/>
          <w:i/>
          <w:color w:val="000000"/>
          <w:sz w:val="22"/>
        </w:rPr>
        <w:t>Equiniti</w:t>
      </w:r>
      <w:r>
        <w:rPr>
          <w:rFonts w:ascii="Times New Roman" w:hAnsi="Times New Roman"/>
          <w:color w:val="000000"/>
          <w:sz w:val="22"/>
        </w:rPr>
        <w:t>”) EquiTrax online account information (“</w:t>
      </w:r>
      <w:r>
        <w:rPr>
          <w:rFonts w:ascii="Times New Roman" w:hAnsi="Times New Roman"/>
          <w:b/>
          <w:i/>
          <w:color w:val="000000"/>
          <w:sz w:val="22"/>
        </w:rPr>
        <w:t>EquiTrax</w:t>
      </w:r>
      <w:r>
        <w:rPr>
          <w:rFonts w:ascii="Times New Roman" w:hAnsi="Times New Roman"/>
          <w:color w:val="000000"/>
          <w:sz w:val="22"/>
        </w:rPr>
        <w:t>”). If the Company or the Administrator utilize a different third party to assist with administration of the Plan, then references herein to Equiniti will be deemed to refer to such other third party and references to EquiTrax will refer to such other online account and platform as is maintained by such other third party.</w:t>
      </w:r>
    </w:p>
    <w:p>
      <w:pPr>
        <w:pStyle w:val="TextBody"/>
        <w:bidi w:val="0"/>
        <w:spacing w:before="241" w:after="283"/>
        <w:jc w:val="left"/>
        <w:rPr>
          <w:rFonts w:ascii="Times New Roman" w:hAnsi="Times New Roman"/>
          <w:sz w:val="22"/>
        </w:rPr>
      </w:pPr>
      <w:r>
        <w:rPr>
          <w:rFonts w:ascii="Times New Roman" w:hAnsi="Times New Roman"/>
          <w:color w:val="000000"/>
          <w:sz w:val="22"/>
          <w:u w:val="single"/>
        </w:rPr>
        <w:t>Vesting Schedule</w:t>
      </w:r>
      <w:r>
        <w:rPr>
          <w:rFonts w:ascii="Times New Roman" w:hAnsi="Times New Roman"/>
          <w:color w:val="000000"/>
          <w:sz w:val="22"/>
        </w:rPr>
        <w:t>:</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Subject to any acceleration provisions contained in the Plan or set forth below, the Option may be exercised, in whole or in part, in accordance with the following schedule: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The Option will vest and become exercisable with respect to all of the Shares on the earlier of (x) the one year anniversary of the date of grant of the Option and (y) the date of the Company’s next annual meeting of stockholders following the date of grant, subject to Participant’s continued Board service through such vesting date. Any portion of the Option that is not vested at the time Participant ceases to serve on the Company’s Board or otherwise ceases to be a Service Provider shall be forfeited and returned to the Company and the Plan for future award.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As provided in the Plan, in the event of a Change in Control, to the extent provided in Sections 13(c)(i) or (e) of the Plan the vesting of the Option shall accelerate in the circumstances described in Section 13 of the Plan and the Option will become exercisable in full prior to the consummation of such event in the circumstances described in Sections 13(c)(i) or (e) of the Plan at such times and on such conditions as the Administrator determines. </w:t>
      </w:r>
    </w:p>
    <w:p>
      <w:pPr>
        <w:pStyle w:val="TextBody"/>
        <w:bidi w:val="0"/>
        <w:spacing w:before="239" w:after="283"/>
        <w:jc w:val="left"/>
        <w:rPr>
          <w:rFonts w:ascii="Times New Roman" w:hAnsi="Times New Roman"/>
          <w:sz w:val="22"/>
        </w:rPr>
      </w:pPr>
      <w:r>
        <w:rPr>
          <w:rFonts w:ascii="Times New Roman" w:hAnsi="Times New Roman"/>
          <w:color w:val="000000"/>
          <w:sz w:val="22"/>
          <w:u w:val="single"/>
        </w:rPr>
        <w:t>Termination/Expiration Date</w:t>
      </w:r>
      <w:r>
        <w:rPr>
          <w:rFonts w:ascii="Times New Roman" w:hAnsi="Times New Roman"/>
          <w:color w:val="000000"/>
          <w:sz w:val="22"/>
        </w:rPr>
        <w:t>:</w:t>
      </w:r>
    </w:p>
    <w:p>
      <w:pPr>
        <w:pStyle w:val="TextBody"/>
        <w:bidi w:val="0"/>
        <w:spacing w:before="242" w:after="283"/>
        <w:jc w:val="both"/>
        <w:rPr>
          <w:rFonts w:ascii="Times New Roman" w:hAnsi="Times New Roman"/>
          <w:sz w:val="22"/>
        </w:rPr>
      </w:pPr>
      <w:r>
        <w:rPr>
          <w:rFonts w:ascii="Times New Roman" w:hAnsi="Times New Roman"/>
          <w:color w:val="000000"/>
          <w:sz w:val="22"/>
        </w:rPr>
        <w:t>The term of the Option shall be ten (10) years from the date of the award, at which time the Option will expire (the “</w:t>
      </w:r>
      <w:r>
        <w:rPr>
          <w:rFonts w:ascii="Times New Roman" w:hAnsi="Times New Roman"/>
          <w:b/>
          <w:i/>
          <w:color w:val="000000"/>
          <w:sz w:val="22"/>
        </w:rPr>
        <w:t>Expiration Date</w:t>
      </w:r>
      <w:r>
        <w:rPr>
          <w:rFonts w:ascii="Times New Roman" w:hAnsi="Times New Roman"/>
          <w:color w:val="000000"/>
          <w:sz w:val="22"/>
        </w:rPr>
        <w:t>”). Subject to the last sentence of this paragraph, the Option will remain exercisable after Participant ceases to be a Service Provider, to the extent vested as of the date on which Participant ceases to be Service Provider, until the earlier to occur of (i) the Expiration Date and (ii) the earlier termination of the Option pursuant to Section 13 of the Plan in connection with a Change in Control (the “</w:t>
      </w:r>
      <w:r>
        <w:rPr>
          <w:rFonts w:ascii="Times New Roman" w:hAnsi="Times New Roman"/>
          <w:b/>
          <w:i/>
          <w:color w:val="000000"/>
          <w:sz w:val="22"/>
        </w:rPr>
        <w:t>Termination Date</w:t>
      </w:r>
      <w:r>
        <w:rPr>
          <w:rFonts w:ascii="Times New Roman" w:hAnsi="Times New Roman"/>
          <w:color w:val="000000"/>
          <w:sz w:val="22"/>
        </w:rPr>
        <w:t xml:space="preserve">”), and any vested but unexercised portion of the Option that remains outstanding as of the Termination Date shall be forfeited. In no event may the Option be exercised after the Termination Date. Notwithstanding anything else in this Award Agreement, the Option is subject to earlier termination as provided in Section 13 of the Plan </w:t>
      </w:r>
    </w:p>
    <w:p>
      <w:pPr>
        <w:pStyle w:val="HorizontalLine"/>
        <w:pBdr>
          <w:bottom w:val="double" w:sz="2" w:space="0" w:color="808080"/>
        </w:pBdr>
        <w:bidi w:val="0"/>
        <w:spacing w:before="0" w:after="283"/>
        <w:jc w:val="left"/>
        <w:rPr/>
      </w:pPr>
      <w:r>
        <w:rPr/>
      </w: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in connection with a Change in Control.</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By Participant’s agreement to this Award Agreement, Participant agrees that the Option is granted under and governed by the terms and conditions of the Plan and this Award Agreement, including the Terms and Conditions of Stock Option Grant (including any country-specific addendum thereto), terms described on Exhibit A and terms described in Participant’s EquiTrax account, all of which are made a part of this document. Participant has reviewed the Plan and this Award Agreement in their entirety, has had an opportunity to obtain the advice of counsel prior to executing this Award Agreement and fully understands all provisions of the Plan and Award Agreement. Participant hereby agrees to accept as binding, conclusive and final all decisions or interpretations of the Administrator upon any questions relating to the Plan and Award Agreement. Participant further agrees to promptly notify the Company in writing upon any change in Participant’s address.</w:t>
      </w:r>
    </w:p>
    <w:p>
      <w:pPr>
        <w:pStyle w:val="TextBody"/>
        <w:bidi w:val="0"/>
        <w:spacing w:before="245" w:after="283"/>
        <w:jc w:val="left"/>
        <w:rPr>
          <w:rFonts w:ascii="Times New Roman" w:hAnsi="Times New Roman"/>
          <w:b/>
          <w:color w:val="000000"/>
          <w:sz w:val="22"/>
        </w:rPr>
      </w:pPr>
      <w:r>
        <w:rPr>
          <w:rFonts w:ascii="Times New Roman" w:hAnsi="Times New Roman"/>
          <w:b/>
          <w:color w:val="000000"/>
          <w:sz w:val="22"/>
        </w:rPr>
        <w:t>PARTICIPANT ARCADIA BIOSCIENCES, INC.</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54"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_____________________________</w:t>
      </w:r>
    </w:p>
    <w:p>
      <w:pPr>
        <w:pStyle w:val="TextBody"/>
        <w:bidi w:val="0"/>
        <w:jc w:val="left"/>
        <w:rPr>
          <w:rFonts w:ascii="Times New Roman" w:hAnsi="Times New Roman"/>
          <w:color w:val="000000"/>
          <w:sz w:val="22"/>
        </w:rPr>
      </w:pPr>
      <w:r>
        <w:rPr>
          <w:rFonts w:ascii="Times New Roman" w:hAnsi="Times New Roman"/>
          <w:color w:val="000000"/>
          <w:sz w:val="22"/>
        </w:rPr>
        <w:t>Title: ____________________________</w:t>
      </w:r>
    </w:p>
    <w:p>
      <w:pPr>
        <w:pStyle w:val="TextBody"/>
        <w:bidi w:val="0"/>
        <w:spacing w:before="5" w:after="283"/>
        <w:jc w:val="left"/>
        <w:rPr/>
      </w:pPr>
      <w:r>
        <w:rPr/>
        <w:t> </w:t>
      </w:r>
    </w:p>
    <w:p>
      <w:pPr>
        <w:pStyle w:val="TextBody"/>
        <w:bidi w:val="0"/>
        <w:jc w:val="left"/>
        <w:rPr>
          <w:rFonts w:ascii="Times New Roman" w:hAnsi="Times New Roman"/>
          <w:sz w:val="22"/>
        </w:rPr>
      </w:pPr>
      <w:r>
        <w:rPr>
          <w:rFonts w:ascii="Times New Roman" w:hAnsi="Times New Roman"/>
          <w:color w:val="000000"/>
          <w:sz w:val="22"/>
          <w:u w:val="single"/>
        </w:rPr>
        <w:t>Residence Address</w:t>
      </w:r>
      <w:r>
        <w:rPr>
          <w:rFonts w:ascii="Times New Roman" w:hAnsi="Times New Roman"/>
          <w:color w:val="000000"/>
          <w:sz w:val="22"/>
        </w:rPr>
        <w:t>:</w:t>
      </w:r>
    </w:p>
    <w:p>
      <w:pPr>
        <w:pStyle w:val="TextBody"/>
        <w:bidi w:val="0"/>
        <w:spacing w:before="5" w:after="283"/>
        <w:jc w:val="left"/>
        <w:rPr/>
      </w:pPr>
      <w:r>
        <w:rPr/>
        <w:t> </w:t>
      </w:r>
    </w:p>
    <w:p>
      <w:pPr>
        <w:pStyle w:val="TextBody"/>
        <w:bidi w:val="0"/>
        <w:spacing w:before="242" w:after="283"/>
        <w:jc w:val="both"/>
        <w:rPr/>
      </w:pPr>
      <w:r>
        <w:rPr/>
        <w:t> </w:t>
      </w:r>
    </w:p>
    <w:p>
      <w:pPr>
        <w:pStyle w:val="TextBody"/>
        <w:bidi w:val="0"/>
        <w:spacing w:before="242" w:after="283"/>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Heading2"/>
        <w:bidi w:val="0"/>
        <w:spacing w:before="78" w:after="283"/>
        <w:jc w:val="center"/>
        <w:rPr>
          <w:rFonts w:ascii="Times New Roman" w:hAnsi="Times New Roman"/>
          <w:color w:val="000000"/>
          <w:sz w:val="22"/>
        </w:rPr>
      </w:pPr>
      <w:r>
        <w:rPr>
          <w:rFonts w:ascii="Times New Roman" w:hAnsi="Times New Roman"/>
          <w:color w:val="000000"/>
          <w:sz w:val="22"/>
        </w:rPr>
        <w:t>TERMS AND CONDITIONS OF STOCK OPTION GRANT</w:t>
      </w:r>
    </w:p>
    <w:p>
      <w:pPr>
        <w:pStyle w:val="TextBody"/>
        <w:bidi w:val="0"/>
        <w:spacing w:before="235"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235" w:after="283"/>
        <w:jc w:val="both"/>
        <w:rPr>
          <w:rFonts w:ascii="Times New Roman" w:hAnsi="Times New Roman"/>
          <w:sz w:val="22"/>
        </w:rPr>
      </w:pPr>
      <w:r>
        <w:rPr>
          <w:rFonts w:ascii="Times New Roman" w:hAnsi="Times New Roman"/>
          <w:color w:val="000000"/>
          <w:sz w:val="22"/>
          <w:u w:val="single"/>
        </w:rPr>
        <w:t>Grant of Option</w:t>
      </w:r>
      <w:r>
        <w:rPr>
          <w:rFonts w:ascii="Times New Roman" w:hAnsi="Times New Roman"/>
          <w:color w:val="000000"/>
          <w:sz w:val="22"/>
        </w:rPr>
        <w:t>. The Company has granted to the Participant (the “</w:t>
      </w:r>
      <w:r>
        <w:rPr>
          <w:rFonts w:ascii="Times New Roman" w:hAnsi="Times New Roman"/>
          <w:b/>
          <w:i/>
          <w:color w:val="000000"/>
          <w:sz w:val="22"/>
        </w:rPr>
        <w:t>Participant</w:t>
      </w:r>
      <w:r>
        <w:rPr>
          <w:rFonts w:ascii="Times New Roman" w:hAnsi="Times New Roman"/>
          <w:color w:val="000000"/>
          <w:sz w:val="22"/>
        </w:rPr>
        <w:t>”) an option (the “</w:t>
      </w:r>
      <w:r>
        <w:rPr>
          <w:rFonts w:ascii="Times New Roman" w:hAnsi="Times New Roman"/>
          <w:b/>
          <w:i/>
          <w:color w:val="000000"/>
          <w:sz w:val="22"/>
        </w:rPr>
        <w:t>Option</w:t>
      </w:r>
      <w:r>
        <w:rPr>
          <w:rFonts w:ascii="Times New Roman" w:hAnsi="Times New Roman"/>
          <w:color w:val="000000"/>
          <w:sz w:val="22"/>
        </w:rPr>
        <w:t>”) to purchase that number of Shares set forth on Exhibit A attached hereto and/or in Participant’s EquiTrax account information, at the exercise price per Share indicated therein or on Exhibit A (the “</w:t>
      </w:r>
      <w:r>
        <w:rPr>
          <w:rFonts w:ascii="Times New Roman" w:hAnsi="Times New Roman"/>
          <w:b/>
          <w:i/>
          <w:color w:val="000000"/>
          <w:sz w:val="22"/>
        </w:rPr>
        <w:t>Exercise Price</w:t>
      </w:r>
      <w:r>
        <w:rPr>
          <w:rFonts w:ascii="Times New Roman" w:hAnsi="Times New Roman"/>
          <w:color w:val="000000"/>
          <w:sz w:val="22"/>
        </w:rPr>
        <w:t>”), subject to all of the terms and conditions in this Award Agreement and the Plan, which is incorporated herein by reference. Subject to Section 13 of the Plan, in the event of a conflict between the terms and conditions of the Plan and the terms and conditions of this Award Agreement, the terms and conditions of the Plan will prevail.</w:t>
      </w: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242" w:after="283"/>
        <w:jc w:val="both"/>
        <w:rPr>
          <w:rFonts w:ascii="Times New Roman" w:hAnsi="Times New Roman"/>
          <w:sz w:val="22"/>
        </w:rPr>
      </w:pPr>
      <w:r>
        <w:rPr>
          <w:rFonts w:ascii="Times New Roman" w:hAnsi="Times New Roman"/>
          <w:color w:val="000000"/>
          <w:sz w:val="22"/>
          <w:u w:val="single"/>
        </w:rPr>
        <w:t>Vesting Schedule</w:t>
      </w:r>
      <w:r>
        <w:rPr>
          <w:rFonts w:ascii="Times New Roman" w:hAnsi="Times New Roman"/>
          <w:color w:val="000000"/>
          <w:sz w:val="22"/>
        </w:rPr>
        <w:t>. Except as provided in Section 3, the Option evidenced by this Award Agreement will vest in accordance with the vesting provisions described in the Notice of Stock Option Grant section above. Portions of the Option that are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 Service Provider status will end on the day that notice of termination is provided whether oral or written (whether by the Company or Parent or Subsidiary for any reason or by Participant upon resignation) and will not be extended by any notice period that may be required contractually or under applicable local law. Notwithstanding the foregoing, the Administrator (or any delegate) shall have the sole and absolute discretion to determine when Participant is no longer providing active service for purposes of Service Provider status and participation in the Plan.</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3.</w:t>
      </w:r>
    </w:p>
    <w:p>
      <w:pPr>
        <w:pStyle w:val="TextBody"/>
        <w:bidi w:val="0"/>
        <w:spacing w:before="239" w:after="283"/>
        <w:jc w:val="both"/>
        <w:rPr>
          <w:rFonts w:ascii="Times New Roman" w:hAnsi="Times New Roman"/>
          <w:sz w:val="22"/>
        </w:rPr>
      </w:pPr>
      <w:r>
        <w:rPr>
          <w:rFonts w:ascii="Times New Roman" w:hAnsi="Times New Roman"/>
          <w:color w:val="000000"/>
          <w:sz w:val="22"/>
          <w:u w:val="single"/>
        </w:rPr>
        <w:t>Administrator Discretion</w:t>
      </w:r>
      <w:r>
        <w:rPr>
          <w:rFonts w:ascii="Times New Roman" w:hAnsi="Times New Roman"/>
          <w:color w:val="000000"/>
          <w:sz w:val="22"/>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4.</w:t>
      </w:r>
    </w:p>
    <w:p>
      <w:pPr>
        <w:pStyle w:val="TextBody"/>
        <w:bidi w:val="0"/>
        <w:spacing w:before="241" w:after="283"/>
        <w:jc w:val="left"/>
        <w:rPr>
          <w:rFonts w:ascii="Times New Roman" w:hAnsi="Times New Roman"/>
          <w:color w:val="000000"/>
          <w:sz w:val="22"/>
          <w:u w:val="single"/>
        </w:rPr>
      </w:pPr>
      <w:r>
        <w:rPr>
          <w:rFonts w:ascii="Times New Roman" w:hAnsi="Times New Roman"/>
          <w:color w:val="000000"/>
          <w:sz w:val="22"/>
          <w:u w:val="single"/>
        </w:rPr>
        <w:t>Exercise of Option.</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39" w:after="283"/>
        <w:jc w:val="both"/>
        <w:rPr>
          <w:rFonts w:ascii="Times New Roman" w:hAnsi="Times New Roman"/>
          <w:sz w:val="22"/>
        </w:rPr>
      </w:pPr>
      <w:r>
        <w:rPr>
          <w:rFonts w:ascii="Times New Roman" w:hAnsi="Times New Roman"/>
          <w:color w:val="000000"/>
          <w:sz w:val="22"/>
          <w:u w:val="single"/>
        </w:rPr>
        <w:t>Right to Exercise</w:t>
      </w:r>
      <w:r>
        <w:rPr>
          <w:rFonts w:ascii="Times New Roman" w:hAnsi="Times New Roman"/>
          <w:color w:val="000000"/>
          <w:sz w:val="22"/>
        </w:rPr>
        <w:t>. The Option may be exercised only within the term set out in the Notice of Grant, and may be exercised during such term only in accordance with the Plan and the terms of this Award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sz w:val="22"/>
        </w:rPr>
      </w:pPr>
      <w:r>
        <w:rPr>
          <w:rFonts w:ascii="Times New Roman" w:hAnsi="Times New Roman"/>
          <w:color w:val="000000"/>
          <w:sz w:val="22"/>
          <w:u w:val="single"/>
        </w:rPr>
        <w:t>Methods of Exercise</w:t>
      </w:r>
      <w:r>
        <w:rPr>
          <w:rFonts w:ascii="Times New Roman" w:hAnsi="Times New Roman"/>
          <w:color w:val="000000"/>
          <w:sz w:val="22"/>
        </w:rPr>
        <w:t>. The Option is exercisable by delivery of an exercise notice, in the form of Exhibit B hereto or such other form as the Administrator may determine (the “</w:t>
      </w:r>
      <w:r>
        <w:rPr>
          <w:rFonts w:ascii="Times New Roman" w:hAnsi="Times New Roman"/>
          <w:b/>
          <w:i/>
          <w:color w:val="000000"/>
          <w:sz w:val="22"/>
        </w:rPr>
        <w:t>Exercise Notice</w:t>
      </w:r>
      <w:r>
        <w:rPr>
          <w:rFonts w:ascii="Times New Roman" w:hAnsi="Times New Roman"/>
          <w:color w:val="000000"/>
          <w:sz w:val="22"/>
        </w:rPr>
        <w:t>”), or in a manner and pursuant to such procedures as the Administrator may determine (including by means of EquiTrax procedures), which will state the election to exercise the Option, the number of Shares in respect of which the Option is being exercised (the “</w:t>
      </w:r>
      <w:r>
        <w:rPr>
          <w:rFonts w:ascii="Times New Roman" w:hAnsi="Times New Roman"/>
          <w:b/>
          <w:i/>
          <w:color w:val="000000"/>
          <w:sz w:val="22"/>
        </w:rPr>
        <w:t>Exercised Shares</w:t>
      </w:r>
      <w:r>
        <w:rPr>
          <w:rFonts w:ascii="Times New Roman" w:hAnsi="Times New Roman"/>
          <w:color w:val="000000"/>
          <w:sz w:val="22"/>
        </w:rPr>
        <w:t>”), and such other representations and agreements as may be required by the Company pursuant to the provisions of the Plan. If not exercised by means of the EquiTrax platform, the Exercise Notice will be completed by Participant and delivered to the Company, and will be accompanied by payment of the aggregate Exercise Price as to all Exercised Shares together with any applicable tax withholding. The Option will be deemed to be exercised upon receipt by the Company of such fully executed Exercise Notice accompanied by such aggregate Exercise Price, or at such time as the Option is exercised by means of the EquiTrax platform. The Option may also be exercised by means of the procedures provided for on the EquiTrax platform. The EquiTrax platform allows you to input different transactions, such as: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color w:val="000000"/>
        </w:rPr>
      </w:pPr>
      <w:r>
        <w:rPr>
          <w:color w:val="000000"/>
        </w:rPr>
        <w:t>“</w:t>
      </w:r>
      <w:r>
        <w:rPr>
          <w:rFonts w:ascii="Times New Roman" w:hAnsi="Times New Roman"/>
          <w:color w:val="000000"/>
          <w:sz w:val="22"/>
        </w:rPr>
        <w:t>Cashless Exercise,” whereby you exercise your vested options, sell exercised shares and receive the proceeds, net of option costs and applicable taxes, by check or direct deposit; or</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1" w:after="283"/>
        <w:jc w:val="both"/>
        <w:rPr>
          <w:color w:val="000000"/>
        </w:rPr>
      </w:pPr>
      <w:r>
        <w:rPr>
          <w:color w:val="000000"/>
        </w:rPr>
        <w:t>“</w:t>
      </w:r>
      <w:r>
        <w:rPr>
          <w:rFonts w:ascii="Times New Roman" w:hAnsi="Times New Roman"/>
          <w:color w:val="000000"/>
          <w:sz w:val="22"/>
        </w:rPr>
        <w:t>Sell to Cover,” whereby you sell only enough of the vested exercised shares to cover the costs for all the option shares and applicable taxes, and receive the balance of shares in an account of your choosing, or</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left"/>
        <w:rPr>
          <w:color w:val="000000"/>
        </w:rPr>
      </w:pPr>
      <w:r>
        <w:rPr>
          <w:color w:val="000000"/>
        </w:rPr>
        <w:t>“</w:t>
      </w:r>
      <w:r>
        <w:rPr>
          <w:rFonts w:ascii="Times New Roman" w:hAnsi="Times New Roman"/>
          <w:color w:val="000000"/>
          <w:sz w:val="22"/>
        </w:rPr>
        <w:t>Cash,” whereby vested options are exercised by remitting payment for the option costs and applicable taxes and shares are received in an account of your choosing.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w:t>
      </w:r>
    </w:p>
    <w:p>
      <w:pPr>
        <w:pStyle w:val="TextBody"/>
        <w:bidi w:val="0"/>
        <w:spacing w:before="240" w:after="283"/>
        <w:jc w:val="both"/>
        <w:rPr>
          <w:rFonts w:ascii="Times New Roman" w:hAnsi="Times New Roman"/>
          <w:sz w:val="22"/>
        </w:rPr>
      </w:pPr>
      <w:r>
        <w:rPr>
          <w:rFonts w:ascii="Times New Roman" w:hAnsi="Times New Roman"/>
          <w:color w:val="000000"/>
          <w:sz w:val="22"/>
          <w:u w:val="single"/>
        </w:rPr>
        <w:t>Method of Payment</w:t>
      </w:r>
      <w:r>
        <w:rPr>
          <w:rFonts w:ascii="Times New Roman" w:hAnsi="Times New Roman"/>
          <w:color w:val="000000"/>
          <w:sz w:val="22"/>
        </w:rPr>
        <w:t>. Payment of the aggregate Exercise Price will be by any of the following, or a combination thereof, at the election of Participant unless the Administrator in its sole discretion (including by means of Equiniti) requires a specific method of payment: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cash (U.S. dollars); or</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check (denominated in U.S. dollars); or</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(c)</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wire transfer (contact Equiniti or the Company, as applicable, for wire instructions); or</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(d)</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consideration received by the Company under a formal cashless exercise program adopted by the Company in connection with the Plan; or</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(e)</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if the Administrator approves, surrender of other shares of Common Stock owned by Participant that have a Fair Market Value on the date of surrender equal to the aggregate Exercise Price of the Exercised Shares, provided that accepting such Shares, in the sole discretion of the Administrator, will not result in any adverse accounting consequences to the Company.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Participant understands and agrees that any cross-border remittance made to exercise the Option or transfer proceeds received upon the sale of Shares must be made through a locally authorized financial institution or registered foreign exchange agency and may require the Participant to provide such entity with certain information regarding the transaction.</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6.</w:t>
      </w:r>
    </w:p>
    <w:p>
      <w:pPr>
        <w:pStyle w:val="TextBody"/>
        <w:bidi w:val="0"/>
        <w:spacing w:before="241" w:after="283"/>
        <w:jc w:val="left"/>
        <w:rPr>
          <w:rFonts w:ascii="Times New Roman" w:hAnsi="Times New Roman"/>
          <w:color w:val="000000"/>
          <w:sz w:val="22"/>
          <w:u w:val="single"/>
        </w:rPr>
      </w:pPr>
      <w:r>
        <w:rPr>
          <w:rFonts w:ascii="Times New Roman" w:hAnsi="Times New Roman"/>
          <w:color w:val="000000"/>
          <w:sz w:val="22"/>
          <w:u w:val="single"/>
        </w:rPr>
        <w:t>Tax Obligations.</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39" w:after="283"/>
        <w:jc w:val="both"/>
        <w:rPr>
          <w:rFonts w:ascii="Times New Roman" w:hAnsi="Times New Roman"/>
          <w:sz w:val="22"/>
        </w:rPr>
      </w:pPr>
      <w:r>
        <w:rPr>
          <w:rFonts w:ascii="Times New Roman" w:hAnsi="Times New Roman"/>
          <w:color w:val="000000"/>
          <w:sz w:val="22"/>
          <w:u w:val="single"/>
        </w:rPr>
        <w:t>Withholding Taxes.</w:t>
      </w:r>
      <w:r>
        <w:rPr>
          <w:rFonts w:ascii="Times New Roman" w:hAnsi="Times New Roman"/>
          <w:color w:val="000000"/>
          <w:sz w:val="22"/>
        </w:rPr>
        <w:t xml:space="preserve"> Regardless of any action the Company or Participant’s employer (the “</w:t>
      </w:r>
      <w:r>
        <w:rPr>
          <w:rFonts w:ascii="Times New Roman" w:hAnsi="Times New Roman"/>
          <w:b/>
          <w:i/>
          <w:color w:val="000000"/>
          <w:sz w:val="22"/>
        </w:rPr>
        <w:t>Employer</w:t>
      </w:r>
      <w:r>
        <w:rPr>
          <w:rFonts w:ascii="Times New Roman" w:hAnsi="Times New Roman"/>
          <w:color w:val="000000"/>
          <w:sz w:val="22"/>
        </w:rPr>
        <w:t>”) takes with respect to any or all applicable national, local, or other tax or social contribution, withholding, required deductions, or other payments, if any, that arise upon the grant, vesting, or exercise of the Option, the holding or subsequent sale of Shares, and the receipt of dividends, if any (“</w:t>
      </w:r>
      <w:r>
        <w:rPr>
          <w:rFonts w:ascii="Times New Roman" w:hAnsi="Times New Roman"/>
          <w:b/>
          <w:i/>
          <w:color w:val="000000"/>
          <w:sz w:val="22"/>
        </w:rPr>
        <w:t>Tax-Related Items</w:t>
      </w:r>
      <w:r>
        <w:rPr>
          <w:rFonts w:ascii="Times New Roman" w:hAnsi="Times New Roman"/>
          <w:color w:val="000000"/>
          <w:sz w:val="22"/>
        </w:rPr>
        <w:t>”), Participant acknowledges and agrees that the ultimate liability for all Tax-Related Items legally due by Participant is and remains Participant’s responsibility. Participant further acknowledges that each of the Company, the Employer, and/or Equiniti (or its affiliates) (a) makes no representations or undertakings regarding the treatment of any Tax-Related Items in connection with any aspect of the Option, including the grant, vesting, or exercise of the Option, the subsequent sale of Shares acquired under the Plan and the receipt of dividends, if any; and (b) does not commit to and is under no obligation to structure the terms of the Option or any aspect of the Option to reduce or eliminate Participant’s liability for Tax-Related Items, or achieve any particular tax result. Further, if Participant has become subject to tax in more than one jurisdiction between the date of grant and the date of any relevant taxable event, Participant acknowledges that the Company, the Employer (or former employer, as applicable), or Equiniti may be required to withhold or account for Tax-Related Items in more than one jurisdiction.</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No payment will be made to Participant (or his or her estate or beneficiary) for an Option unless and until satisfactory arrangements (as determined by the Administrator or the Company) have been made by Participant with respect to the payment by the Company, the Employer, or Equiniti of any Tax-Related Items with respect to the Option. In this regard, Participant authorizes the Company, the Employer, or Equiniti, or their respective agents, at their discretion, to satisfy the obligations with regard to all Tax-Related Items by one or a combination of the following:</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 withholding from Participant’s wages or other cash compensation paid to Participant by the Company or the Employer; or</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(ii) withholding from proceeds of the sale of Shares acquired upon exercise of the Option, either through a voluntary sale or through a mandatory sale arranged by the Company (on Participant’s behalf pursuant to this authorization); or</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(iii) withholding of Shares to be issued upon exercise of the Option; or</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(iv) surrendering already-owned Shares having a Fair Market Value equal to the Tax-Related Items that have been held for such period of time to avoid adverse accounting consequences.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If the obligation for Tax-Related Items is satisfied by withholding Shares, the Participant is deemed to have been issued the full number of Shares purchased for tax purposes, notwithstanding that a number of the Shares is held back solely for the purpose of paying the Tax-Related Items due as a result of the Participant’s participation in the Plan. Participant shall pay to the Company, the Employer, or Equiniti any amount of Tax-Related Items that the Company may be required to withhold as a result of Participant’s participation in the Plan that cannot be satisfied by one or more of the means previously described in this Section. Participant acknowledges and agrees that the Company may refuse to honor the exercise and refuse to issue or deliver the Shares or the proceeds of the sale of Shares if Participant fails to comply with his or her obligations in connection with the Tax-Related Items.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sz w:val="22"/>
        </w:rPr>
      </w:pPr>
      <w:r>
        <w:rPr>
          <w:rFonts w:ascii="Times New Roman" w:hAnsi="Times New Roman"/>
          <w:color w:val="000000"/>
          <w:sz w:val="22"/>
          <w:u w:val="single"/>
        </w:rPr>
        <w:t>[Reserved]</w:t>
      </w:r>
      <w:r>
        <w:rPr>
          <w:rFonts w:ascii="Times New Roman" w:hAnsi="Times New Roman"/>
          <w:color w:val="000000"/>
          <w:sz w:val="22"/>
        </w:rPr>
        <w:t xml:space="preserve">. </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1" w:after="283"/>
        <w:jc w:val="both"/>
        <w:rPr>
          <w:rFonts w:ascii="Times New Roman" w:hAnsi="Times New Roman"/>
          <w:sz w:val="22"/>
        </w:rPr>
      </w:pPr>
      <w:r>
        <w:rPr>
          <w:rFonts w:ascii="Times New Roman" w:hAnsi="Times New Roman"/>
          <w:color w:val="000000"/>
          <w:sz w:val="22"/>
          <w:u w:val="single"/>
        </w:rPr>
        <w:t>Code Section 409A (Applicable Only to Participants Subject to U.S. Taxes)</w:t>
      </w:r>
      <w:r>
        <w:rPr>
          <w:rFonts w:ascii="Times New Roman" w:hAnsi="Times New Roman"/>
          <w:color w:val="000000"/>
          <w:sz w:val="22"/>
        </w:rPr>
        <w:t>. Under Section 409A, of the U.S. Internal Revenue Code of 1986, as amended (the “</w:t>
      </w:r>
      <w:r>
        <w:rPr>
          <w:rFonts w:ascii="Times New Roman" w:hAnsi="Times New Roman"/>
          <w:b/>
          <w:i/>
          <w:color w:val="000000"/>
          <w:sz w:val="22"/>
        </w:rPr>
        <w:t>Code</w:t>
      </w:r>
      <w:r>
        <w:rPr>
          <w:rFonts w:ascii="Times New Roman" w:hAnsi="Times New Roman"/>
          <w:color w:val="000000"/>
          <w:sz w:val="22"/>
        </w:rPr>
        <w:t>”), an option that vests after December 31, 2004 (or that vested on or prior to such date but which was materially modified after October 3, 2004) that was granted with a per Share exercise price that is determined by the Internal Revenue Service (the “</w:t>
      </w:r>
      <w:r>
        <w:rPr>
          <w:rFonts w:ascii="Times New Roman" w:hAnsi="Times New Roman"/>
          <w:b/>
          <w:i/>
          <w:color w:val="000000"/>
          <w:sz w:val="22"/>
        </w:rPr>
        <w:t>IRS</w:t>
      </w:r>
      <w:r>
        <w:rPr>
          <w:rFonts w:ascii="Times New Roman" w:hAnsi="Times New Roman"/>
          <w:color w:val="000000"/>
          <w:sz w:val="22"/>
        </w:rPr>
        <w:t>”) to be less than the Fair Market Value of a Share on the date of grant (a “</w:t>
      </w:r>
      <w:r>
        <w:rPr>
          <w:rFonts w:ascii="Times New Roman" w:hAnsi="Times New Roman"/>
          <w:b/>
          <w:i/>
          <w:color w:val="000000"/>
          <w:sz w:val="22"/>
        </w:rPr>
        <w:t>Discount Option</w:t>
      </w:r>
      <w:r>
        <w:rPr>
          <w:rFonts w:ascii="Times New Roman" w:hAnsi="Times New Roman"/>
          <w:color w:val="000000"/>
          <w:sz w:val="22"/>
        </w:rPr>
        <w:t>”) may be considered “deferred compensation.” A Discount Option may result in (i) income recognition by Participant prior to the exercise of the option, (ii) an additional twenty percent (20%) federal income tax, and (iii) potential penalty and interest charges. The Discount Option may also result in additional state income, penalty and interest charges to the Participant.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will be solely responsible for Participant’s costs related to such a determination.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7.</w:t>
      </w:r>
    </w:p>
    <w:p>
      <w:pPr>
        <w:pStyle w:val="TextBody"/>
        <w:bidi w:val="0"/>
        <w:spacing w:before="240" w:after="283"/>
        <w:jc w:val="both"/>
        <w:rPr>
          <w:rFonts w:ascii="Times New Roman" w:hAnsi="Times New Roman"/>
          <w:sz w:val="22"/>
        </w:rPr>
      </w:pPr>
      <w:r>
        <w:rPr>
          <w:rFonts w:ascii="Times New Roman" w:hAnsi="Times New Roman"/>
          <w:color w:val="000000"/>
          <w:sz w:val="22"/>
          <w:u w:val="single"/>
        </w:rPr>
        <w:t>Rights as Stockholder</w:t>
      </w:r>
      <w:r>
        <w:rPr>
          <w:rFonts w:ascii="Times New Roman" w:hAnsi="Times New Roman"/>
          <w:color w:val="000000"/>
          <w:sz w:val="22"/>
        </w:rPr>
        <w:t>. Neither Participant nor any person claiming under or through Participant will have any of the rights or privileges of a stockholder of the Company in respect of any Shares until such Shares will have been issued (as evidenced by the appropriate entry on the books of the Company or of a duly authorized transfer agent of the Company). After such issuance, Participant will have all the rights of a stockholder of the Company with respect to voting such Shares and receipt of dividends and distributions on such Shares, but prior to such issuance, Participant will not have any rights to dividends and/or distributions on such Shares.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8.</w:t>
      </w:r>
    </w:p>
    <w:p>
      <w:pPr>
        <w:pStyle w:val="TextBody"/>
        <w:bidi w:val="0"/>
        <w:spacing w:before="240" w:after="283"/>
        <w:jc w:val="both"/>
        <w:rPr>
          <w:rFonts w:ascii="Times New Roman" w:hAnsi="Times New Roman"/>
          <w:sz w:val="22"/>
        </w:rPr>
      </w:pPr>
      <w:r>
        <w:rPr>
          <w:rFonts w:ascii="Times New Roman" w:hAnsi="Times New Roman"/>
          <w:color w:val="000000"/>
          <w:sz w:val="22"/>
          <w:u w:val="single"/>
        </w:rPr>
        <w:t>No Guarantee of Continued Service</w:t>
      </w:r>
      <w:r>
        <w:rPr>
          <w:rFonts w:ascii="Times New Roman" w:hAnsi="Times New Roman"/>
          <w:color w:val="000000"/>
          <w:sz w:val="22"/>
        </w:rPr>
        <w:t xml:space="preserve">. PARTICIPANT ACKNOWLEDGES AND AGREES THAT THE VESTING OF THE OPTION PURSUANT TO THE VESTING SCHEDULE HEREOF IS EARNED ONLY BY CONTINUING AS A SERVICE PROVIDER, AT THE WILL OF THE COMPANY AND NOT THROUGH THE ACT OF BEING HIRED, BEING GRANTED THE OPTION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VESTING PERIOD, FOR ANY PERIOD, OR AT ALL, AND WILL NOT INTERFERE IN ANY WAY WITH PARTICIPANT’S RIGHT OR THE RIGHT OF THE COMPANY TO TERMINATE PARTICIPANT’S RELATIONSHIP AS A SERVICE PROVIDER AT ANY TIME, WITH OR WITHOUT CAUSE (SUBJECT TO APPLICABLE LOCAL LAWS).</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9.</w:t>
      </w:r>
    </w:p>
    <w:p>
      <w:pPr>
        <w:pStyle w:val="TextBody"/>
        <w:bidi w:val="0"/>
        <w:spacing w:before="241" w:after="283"/>
        <w:jc w:val="left"/>
        <w:rPr>
          <w:rFonts w:ascii="Times New Roman" w:hAnsi="Times New Roman"/>
          <w:sz w:val="22"/>
        </w:rPr>
      </w:pPr>
      <w:r>
        <w:rPr>
          <w:rFonts w:ascii="Times New Roman" w:hAnsi="Times New Roman"/>
          <w:color w:val="000000"/>
          <w:sz w:val="22"/>
          <w:u w:val="single"/>
        </w:rPr>
        <w:t>Nature of Grant</w:t>
      </w:r>
      <w:r>
        <w:rPr>
          <w:rFonts w:ascii="Times New Roman" w:hAnsi="Times New Roman"/>
          <w:color w:val="000000"/>
          <w:sz w:val="22"/>
        </w:rPr>
        <w:t>. In accepting the Option, Participant acknowledges that: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the Plan is established voluntarily by the Company, it is discretionary in nature and it may be modified, amended, suspended or terminated by the Company at any time;</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the grant of the Option is voluntary and occasional and does not create any contractual or other right to receive future grants of Options, or benefits in lieu of Options even if Options have been granted repeatedly in the past;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all decisions with respect to future awards of Options, if any, will be at the sole discretion of the Company;</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(d)</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Participant’s participation in the Plan is voluntary;</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the Option and the Shares subject to the Option are extraordinary items that do not constitute regular compensation for services rendered to the Company;</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the Option and the Shares subject to the Option are not intended to replace any pension rights or compensation;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Option and the Shares subject to the Option are not part of normal or expected compensation or salary for any purposes, including, but not limited to, calculating any severance, resignation, termination, redundancy, dismissal, or end of service payments, bonuses, long-service awards, pension or retirement or welfare benefits or similar payments and in no event should be considered as compensation for, or relating in any way to, past services for the Company;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future value of the underlying Shares is unknown and cannot be predicted with certainty; further, if Participant exercises the Option and obtains Shares, the value of the Shares acquired upon exercise may increase or decrease in value, even below the Exercise Price;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Participant also understands that neither the Company, nor any affiliate is responsible for any foreign exchange fluctuation between local currency and the United States Dollar or the selection by the Company or any affiliate in its sole discretion of an applicable foreign currency exchange rate that may affect the value of the Option (or the calculation of income or Tax-Related Items thereunder);</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(j)</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the Option and the benefits under the Plan, if any, will not automatically transfer to another company in the case of a merger, take-over or transfer of liability.</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10.</w:t>
      </w:r>
    </w:p>
    <w:p>
      <w:pPr>
        <w:pStyle w:val="TextBody"/>
        <w:bidi w:val="0"/>
        <w:spacing w:before="241" w:after="283"/>
        <w:jc w:val="both"/>
        <w:rPr>
          <w:rFonts w:ascii="Times New Roman" w:hAnsi="Times New Roman"/>
          <w:sz w:val="22"/>
        </w:rPr>
      </w:pPr>
      <w:r>
        <w:rPr>
          <w:rFonts w:ascii="Times New Roman" w:hAnsi="Times New Roman"/>
          <w:color w:val="000000"/>
          <w:sz w:val="22"/>
          <w:u w:val="single"/>
        </w:rPr>
        <w:t>No Advice Regarding Grant</w:t>
      </w:r>
      <w:r>
        <w:rPr>
          <w:rFonts w:ascii="Times New Roman" w:hAnsi="Times New Roman"/>
          <w:color w:val="000000"/>
          <w:sz w:val="22"/>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Participant’s participation in the Plan before taking any action related to the Plan.</w:t>
      </w:r>
    </w:p>
    <w:p>
      <w:pPr>
        <w:pStyle w:val="TextBody"/>
        <w:bidi w:val="0"/>
        <w:spacing w:before="245" w:after="283"/>
        <w:jc w:val="both"/>
        <w:rPr>
          <w:rFonts w:ascii="Times New Roman" w:hAnsi="Times New Roman"/>
          <w:color w:val="000000"/>
          <w:sz w:val="22"/>
        </w:rPr>
      </w:pPr>
      <w:r>
        <w:rPr>
          <w:rFonts w:ascii="Times New Roman" w:hAnsi="Times New Roman"/>
          <w:color w:val="000000"/>
          <w:sz w:val="22"/>
        </w:rPr>
        <w:t>11.</w:t>
      </w:r>
    </w:p>
    <w:p>
      <w:pPr>
        <w:pStyle w:val="TextBody"/>
        <w:bidi w:val="0"/>
        <w:spacing w:before="245" w:after="283"/>
        <w:jc w:val="both"/>
        <w:rPr>
          <w:rFonts w:ascii="Times New Roman" w:hAnsi="Times New Roman"/>
          <w:sz w:val="22"/>
        </w:rPr>
      </w:pPr>
      <w:r>
        <w:rPr>
          <w:rFonts w:ascii="Times New Roman" w:hAnsi="Times New Roman"/>
          <w:b/>
          <w:i/>
          <w:color w:val="000000"/>
          <w:sz w:val="22"/>
          <w:u w:val="single"/>
        </w:rPr>
        <w:t>Data Privacy</w:t>
      </w:r>
      <w:r>
        <w:rPr>
          <w:rFonts w:ascii="Times New Roman" w:hAnsi="Times New Roman"/>
          <w:b/>
          <w:i/>
          <w:color w:val="000000"/>
          <w:sz w:val="22"/>
        </w:rPr>
        <w:t>. Participant hereby explicitly and unambiguously consents to the collection, use and transfer, in electronic or other form, of Participant’s personal data as described in this Award Agreement by and among, as applicable, the Company and its affiliates for the exclusive purpose of implementing, administering and managing Participant’s participation in the Plan.</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1" w:after="283"/>
        <w:jc w:val="both"/>
        <w:rPr>
          <w:rFonts w:ascii="Times New Roman" w:hAnsi="Times New Roman"/>
          <w:b/>
          <w:i/>
          <w:color w:val="000000"/>
          <w:sz w:val="22"/>
        </w:rPr>
      </w:pPr>
      <w:r>
        <w:rPr>
          <w:rFonts w:ascii="Times New Roman" w:hAnsi="Times New Roman"/>
          <w:b/>
          <w:i/>
          <w:color w:val="000000"/>
          <w:sz w:val="22"/>
        </w:rPr>
        <w:t>Participant understands that the Company and its affiliates may hold certain personal information about Participant, including, but not limited to, Participant’s name, home address and telephone number, date of birth, social insurance number or other identification number, salary, nationality, job title, any shares of stock or directorships held in the Company or any affiliate, details of all Options or any other entitlement to shares of stock awarded, canceled, exercised, vested, unvested or outstanding in Participant’s favor, for the exclusive purpose of implementing, administering and managing the Plan (“Personal Data”). Participant understands that Personal Data may be transferred to any third parties assisting in the implementation, administration and management of the Plan, that these recipients may be located in the United States, Participant’s country (if different than the United States), or elsewhere, and that the recipient’s country may have different data privacy laws and protections than Participant’s country.</w:t>
      </w:r>
    </w:p>
    <w:p>
      <w:pPr>
        <w:pStyle w:val="TextBody"/>
        <w:bidi w:val="0"/>
        <w:spacing w:before="239" w:after="283"/>
        <w:jc w:val="both"/>
        <w:rPr>
          <w:rFonts w:ascii="Times New Roman" w:hAnsi="Times New Roman"/>
          <w:b/>
          <w:i/>
          <w:color w:val="000000"/>
          <w:sz w:val="22"/>
        </w:rPr>
      </w:pPr>
      <w:r>
        <w:rPr>
          <w:rFonts w:ascii="Times New Roman" w:hAnsi="Times New Roman"/>
          <w:b/>
          <w:i/>
          <w:color w:val="000000"/>
          <w:sz w:val="22"/>
        </w:rPr>
        <w:t>For Participants located in the European Union, the following paragraph applies: Participant understands that he or she may request a list with the names and addresses of any potential recipients of the Personal Data by contacting Participant’s local human resources representative. Participant authorizes the recipients to receive, possess, use, retain and transfer the Personal Data, in electronic or other form, for the purposes of implementing, administering and managing Participant’s participation in the Plan, including any requisite transfer of such Personal Data as may be required to a broker or other third party with whom Participant may elect to deposit any Shares received upon exercise of the Option. Participant understands that Personal Data will be held only as long as is necessary to implement, administer and manage Participant’s participation in the Plan. Participant understands that he or she may, at any time, view Personal Data, request additional information about the storage and processing of Personal Data, require any necessary amendments to Personal Data or refuse or withdraw the consents herein, without cost, by contacting in writing Participant’s local human resources representative. Participant understands that refusal or withdrawal of consent may affect Participant’s ability to participate in the Plan or to realize benefits from the Option. For more information on the consequences of Participant’s refusal to consent or withdrawal of consent, Participant understands that he or she may contact his or her local human resources representative.</w:t>
      </w:r>
    </w:p>
    <w:p>
      <w:pPr>
        <w:pStyle w:val="TextBody"/>
        <w:bidi w:val="0"/>
        <w:spacing w:before="237" w:after="283"/>
        <w:jc w:val="left"/>
        <w:rPr>
          <w:rFonts w:ascii="Times New Roman" w:hAnsi="Times New Roman"/>
          <w:color w:val="000000"/>
          <w:sz w:val="22"/>
        </w:rPr>
      </w:pPr>
      <w:r>
        <w:rPr>
          <w:rFonts w:ascii="Times New Roman" w:hAnsi="Times New Roman"/>
          <w:color w:val="000000"/>
          <w:sz w:val="22"/>
        </w:rPr>
        <w:t>12.</w:t>
      </w:r>
    </w:p>
    <w:p>
      <w:pPr>
        <w:pStyle w:val="TextBody"/>
        <w:bidi w:val="0"/>
        <w:spacing w:before="237" w:after="283"/>
        <w:jc w:val="left"/>
        <w:rPr>
          <w:rFonts w:ascii="Times New Roman" w:hAnsi="Times New Roman"/>
          <w:sz w:val="22"/>
        </w:rPr>
      </w:pPr>
      <w:r>
        <w:rPr>
          <w:rFonts w:ascii="Times New Roman" w:hAnsi="Times New Roman"/>
          <w:color w:val="000000"/>
          <w:sz w:val="22"/>
          <w:u w:val="single"/>
        </w:rPr>
        <w:t>Address for Notices</w:t>
      </w:r>
      <w:r>
        <w:rPr>
          <w:rFonts w:ascii="Times New Roman" w:hAnsi="Times New Roman"/>
          <w:color w:val="000000"/>
          <w:sz w:val="22"/>
        </w:rPr>
        <w:t>. Any notice to be given to the Company under the terms of this Award Agreement will be addressed to the Company, in care of its Secretary at Arcadia Biosciences, Inc., 5956 Sherry Lane, Suite 2000, Dallas, TX 75225, or at such other address as the Company may hereafter designate in writing.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13.</w:t>
      </w:r>
    </w:p>
    <w:p>
      <w:pPr>
        <w:pStyle w:val="TextBody"/>
        <w:bidi w:val="0"/>
        <w:spacing w:before="240" w:after="283"/>
        <w:jc w:val="both"/>
        <w:rPr>
          <w:rFonts w:ascii="Times New Roman" w:hAnsi="Times New Roman"/>
          <w:sz w:val="22"/>
        </w:rPr>
      </w:pPr>
      <w:r>
        <w:rPr>
          <w:rFonts w:ascii="Times New Roman" w:hAnsi="Times New Roman"/>
          <w:color w:val="000000"/>
          <w:sz w:val="22"/>
          <w:u w:val="single"/>
        </w:rPr>
        <w:t>Non-Transferability of Option</w:t>
      </w:r>
      <w:r>
        <w:rPr>
          <w:rFonts w:ascii="Times New Roman" w:hAnsi="Times New Roman"/>
          <w:color w:val="000000"/>
          <w:sz w:val="22"/>
        </w:rPr>
        <w:t>. This Option may not be transferred in any manner other than by will or by the laws of descent or distribution and may be exercised during the lifetime of Participant only by Participant.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14.</w:t>
      </w:r>
    </w:p>
    <w:p>
      <w:pPr>
        <w:pStyle w:val="TextBody"/>
        <w:bidi w:val="0"/>
        <w:spacing w:before="239" w:after="283"/>
        <w:jc w:val="both"/>
        <w:rPr>
          <w:rFonts w:ascii="Times New Roman" w:hAnsi="Times New Roman"/>
          <w:sz w:val="22"/>
        </w:rPr>
      </w:pPr>
      <w:r>
        <w:rPr>
          <w:rFonts w:ascii="Times New Roman" w:hAnsi="Times New Roman"/>
          <w:color w:val="000000"/>
          <w:sz w:val="22"/>
          <w:u w:val="single"/>
        </w:rPr>
        <w:t>Binding Agreement</w:t>
      </w:r>
      <w:r>
        <w:rPr>
          <w:rFonts w:ascii="Times New Roman" w:hAnsi="Times New Roman"/>
          <w:color w:val="000000"/>
          <w:sz w:val="22"/>
        </w:rPr>
        <w:t>. Subject to the limitation on the transferability of the Option evidenced hereby, this Award Agreement will be binding upon and inure to the benefit of the heirs, legatees, legal representatives, successors and assigns of the parties hereto.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15.</w:t>
      </w:r>
    </w:p>
    <w:p>
      <w:pPr>
        <w:pStyle w:val="TextBody"/>
        <w:bidi w:val="0"/>
        <w:spacing w:before="240" w:after="283"/>
        <w:jc w:val="both"/>
        <w:rPr>
          <w:rFonts w:ascii="Times New Roman" w:hAnsi="Times New Roman"/>
          <w:sz w:val="22"/>
        </w:rPr>
      </w:pPr>
      <w:r>
        <w:rPr>
          <w:rFonts w:ascii="Times New Roman" w:hAnsi="Times New Roman"/>
          <w:color w:val="000000"/>
          <w:sz w:val="22"/>
          <w:u w:val="single"/>
        </w:rPr>
        <w:t>Additional Conditions to Issuance of Stock</w:t>
      </w:r>
      <w:r>
        <w:rPr>
          <w:rFonts w:ascii="Times New Roman" w:hAnsi="Times New Roman"/>
          <w:color w:val="000000"/>
          <w:sz w:val="22"/>
        </w:rPr>
        <w:t xml:space="preserve">. If at any time the Company will determine, in its discretion, that the listing, registration or qualification of the Shares upon any securities exchange or under any state, federal or foreign law, or the consent or approval of any governmental regulatory authority is necessary or desirable as a condition to the issuance of Shares to Participant (or his or her estate), such issuance will not occur unless and until such listing, registration, qualification, consent or approval will have been effected or obtained free of any conditions not acceptable to the Company. The Company will make all reasonable efforts to meet the requirements of any such state, federal or foreign law or securities exchange and to obtain any such consent or approval of any such governmental authority. Assuming such compliance, for income tax purposes the Exercised Shares will be considered transferred to Participant on the date the Option is exercised with respect to such Exercised Shares. The Company shall not be obligated to issue any Shares pursuant to this Option at any time if the issuance of Shares, or the exercise of an Option by Participant, violates or is not in compliance with any laws, rules or regulations of the United States or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state or country.</w:t>
      </w: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16.</w:t>
      </w:r>
    </w:p>
    <w:p>
      <w:pPr>
        <w:pStyle w:val="TextBody"/>
        <w:bidi w:val="0"/>
        <w:spacing w:before="242" w:after="283"/>
        <w:jc w:val="both"/>
        <w:rPr>
          <w:rFonts w:ascii="Times New Roman" w:hAnsi="Times New Roman"/>
          <w:sz w:val="22"/>
        </w:rPr>
      </w:pPr>
      <w:r>
        <w:rPr>
          <w:rFonts w:ascii="Times New Roman" w:hAnsi="Times New Roman"/>
          <w:color w:val="000000"/>
          <w:sz w:val="22"/>
          <w:u w:val="single"/>
        </w:rPr>
        <w:t>Plan Governs.</w:t>
      </w:r>
      <w:r>
        <w:rPr>
          <w:rFonts w:ascii="Times New Roman" w:hAnsi="Times New Roman"/>
          <w:color w:val="000000"/>
          <w:sz w:val="22"/>
        </w:rPr>
        <w:t xml:space="preserve"> This Award Agreement is subject to all terms and provisions of the Plan. In the event of a conflict between one or more provisions of this Award Agreement and one or more provisions of the Plan, the provisions of the Plan will govern. Capitalized terms used and not defined in this Award Agreement will have the meaning set forth in the Plan.</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17.</w:t>
      </w:r>
    </w:p>
    <w:p>
      <w:pPr>
        <w:pStyle w:val="TextBody"/>
        <w:bidi w:val="0"/>
        <w:spacing w:before="239" w:after="283"/>
        <w:jc w:val="both"/>
        <w:rPr>
          <w:rFonts w:ascii="Times New Roman" w:hAnsi="Times New Roman"/>
          <w:sz w:val="22"/>
        </w:rPr>
      </w:pPr>
      <w:r>
        <w:rPr>
          <w:rFonts w:ascii="Times New Roman" w:hAnsi="Times New Roman"/>
          <w:color w:val="000000"/>
          <w:sz w:val="22"/>
          <w:u w:val="single"/>
        </w:rPr>
        <w:t>Administrator Authority</w:t>
      </w:r>
      <w:r>
        <w:rPr>
          <w:rFonts w:ascii="Times New Roman" w:hAnsi="Times New Roman"/>
          <w:color w:val="000000"/>
          <w:sz w:val="22"/>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18.</w:t>
      </w:r>
    </w:p>
    <w:p>
      <w:pPr>
        <w:pStyle w:val="TextBody"/>
        <w:bidi w:val="0"/>
        <w:spacing w:before="242" w:after="283"/>
        <w:jc w:val="both"/>
        <w:rPr>
          <w:rFonts w:ascii="Times New Roman" w:hAnsi="Times New Roman"/>
          <w:sz w:val="22"/>
        </w:rPr>
      </w:pPr>
      <w:r>
        <w:rPr>
          <w:rFonts w:ascii="Times New Roman" w:hAnsi="Times New Roman"/>
          <w:color w:val="000000"/>
          <w:sz w:val="22"/>
          <w:u w:val="single"/>
        </w:rPr>
        <w:t>Electronic Delivery</w:t>
      </w:r>
      <w:r>
        <w:rPr>
          <w:rFonts w:ascii="Times New Roman" w:hAnsi="Times New Roman"/>
          <w:color w:val="000000"/>
          <w:sz w:val="22"/>
        </w:rPr>
        <w:t>. The Company may, in its sole discretion, decide to deliver any documents related to Options awarded under the Plan or future options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19.</w:t>
      </w:r>
    </w:p>
    <w:p>
      <w:pPr>
        <w:pStyle w:val="TextBody"/>
        <w:bidi w:val="0"/>
        <w:spacing w:before="239" w:after="283"/>
        <w:jc w:val="both"/>
        <w:rPr>
          <w:rFonts w:ascii="Times New Roman" w:hAnsi="Times New Roman"/>
          <w:sz w:val="22"/>
        </w:rPr>
      </w:pPr>
      <w:r>
        <w:rPr>
          <w:rFonts w:ascii="Times New Roman" w:hAnsi="Times New Roman"/>
          <w:color w:val="000000"/>
          <w:sz w:val="22"/>
          <w:u w:val="single"/>
        </w:rPr>
        <w:t>Language</w:t>
      </w:r>
      <w:r>
        <w:rPr>
          <w:rFonts w:ascii="Times New Roman" w:hAnsi="Times New Roman"/>
          <w:color w:val="000000"/>
          <w:sz w:val="22"/>
        </w:rPr>
        <w:t>. If Participant has received this Award Agreement, including appendices, or any other document related to the Plan translated into a language other than English, and the meaning of the translated version is different than the English version, the English version will control.</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20.</w:t>
      </w:r>
    </w:p>
    <w:p>
      <w:pPr>
        <w:pStyle w:val="TextBody"/>
        <w:bidi w:val="0"/>
        <w:spacing w:before="240" w:after="283"/>
        <w:jc w:val="both"/>
        <w:rPr>
          <w:rFonts w:ascii="Times New Roman" w:hAnsi="Times New Roman"/>
          <w:sz w:val="22"/>
        </w:rPr>
      </w:pPr>
      <w:r>
        <w:rPr>
          <w:rFonts w:ascii="Times New Roman" w:hAnsi="Times New Roman"/>
          <w:color w:val="000000"/>
          <w:sz w:val="22"/>
          <w:u w:val="single"/>
        </w:rPr>
        <w:t>Imposition of Other Requirements</w:t>
      </w:r>
      <w:r>
        <w:rPr>
          <w:rFonts w:ascii="Times New Roman" w:hAnsi="Times New Roman"/>
          <w:color w:val="000000"/>
          <w:sz w:val="22"/>
        </w:rPr>
        <w:t>. The Company reserves the right to impose other requirements on Participant’s participation in the Plan, on the Option and on any Shares acquired under the Plan, to the extent the Company determines it is necessary or advisable in order to comply with local law or facilitate the administration of the Plan, and to require Participant to sign any additional agreements or undertakings that may be necessary to accomplish the foregoing. Furthermore, Participant understands that the laws of the country in which he or she is resident at the time of grant, vesting, and/or exercise of this Option or the holding or disposition of Shares (including any rules or regulations governing securities, foreign exchange, tax, labor or other matters) may restrict or prevent exercise of this Option or may subject Participant to additional procedural or regulatory requirements he or she is solely responsible for and will have to independently fulfill in relation to this Option or the Shares. Notwithstanding any provision herein, the Option and any Shares shall be subject to any special terms and conditions or disclosures as set forth in any addendum for Participant’s country (the “Country-Specific Addendum,” which forms part this Award Agreement). In addition, the Option (and any compensation paid or shares issued under the Option) is subject to recoupment in accordance with The Dodd–Frank Wall Street Reform and Consumer Protection Act and any implementing regulations thereunder, any compensation recovery policy otherwise required by applicable law and any recoupment or clawback policy adopted by the Company (whether or not required by applicable law).</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21.</w:t>
      </w:r>
    </w:p>
    <w:p>
      <w:pPr>
        <w:pStyle w:val="TextBody"/>
        <w:bidi w:val="0"/>
        <w:spacing w:before="240" w:after="283"/>
        <w:jc w:val="both"/>
        <w:rPr>
          <w:rFonts w:ascii="Times New Roman" w:hAnsi="Times New Roman"/>
          <w:sz w:val="22"/>
        </w:rPr>
      </w:pPr>
      <w:r>
        <w:rPr>
          <w:rFonts w:ascii="Times New Roman" w:hAnsi="Times New Roman"/>
          <w:color w:val="000000"/>
          <w:sz w:val="22"/>
          <w:u w:val="single"/>
        </w:rPr>
        <w:t>Captions</w:t>
      </w:r>
      <w:r>
        <w:rPr>
          <w:rFonts w:ascii="Times New Roman" w:hAnsi="Times New Roman"/>
          <w:color w:val="000000"/>
          <w:sz w:val="22"/>
        </w:rPr>
        <w:t>. Captions provided herein are for convenience only and are not to serve as a basis for interpretation or construction of this Award Agreement.</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22.</w:t>
      </w:r>
    </w:p>
    <w:p>
      <w:pPr>
        <w:pStyle w:val="TextBody"/>
        <w:bidi w:val="0"/>
        <w:spacing w:before="241" w:after="283"/>
        <w:jc w:val="both"/>
        <w:rPr>
          <w:rFonts w:ascii="Times New Roman" w:hAnsi="Times New Roman"/>
          <w:sz w:val="22"/>
        </w:rPr>
      </w:pPr>
      <w:r>
        <w:rPr>
          <w:rFonts w:ascii="Times New Roman" w:hAnsi="Times New Roman"/>
          <w:color w:val="000000"/>
          <w:sz w:val="22"/>
          <w:u w:val="single"/>
        </w:rPr>
        <w:t>Agreement Severable</w:t>
      </w:r>
      <w:r>
        <w:rPr>
          <w:rFonts w:ascii="Times New Roman" w:hAnsi="Times New Roman"/>
          <w:color w:val="000000"/>
          <w:sz w:val="22"/>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23.</w:t>
      </w:r>
    </w:p>
    <w:p>
      <w:pPr>
        <w:pStyle w:val="TextBody"/>
        <w:bidi w:val="0"/>
        <w:spacing w:before="240" w:after="283"/>
        <w:jc w:val="both"/>
        <w:rPr>
          <w:rFonts w:ascii="Times New Roman" w:hAnsi="Times New Roman"/>
          <w:sz w:val="22"/>
        </w:rPr>
      </w:pPr>
      <w:r>
        <w:rPr>
          <w:rFonts w:ascii="Times New Roman" w:hAnsi="Times New Roman"/>
          <w:color w:val="000000"/>
          <w:sz w:val="22"/>
          <w:u w:val="single"/>
        </w:rPr>
        <w:t>Modifications to the Agreement</w:t>
      </w:r>
      <w:r>
        <w:rPr>
          <w:rFonts w:ascii="Times New Roman" w:hAnsi="Times New Roman"/>
          <w:color w:val="000000"/>
          <w:sz w:val="22"/>
        </w:rPr>
        <w:t xml:space="preserve">. This Award Agreement constitutes the entire understanding of the parties on the subjects covered. Participant expressly warrants that he or she is not </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Code Section 409A or to otherwise avoid imposition of any additional tax or income recognition under Section 409A of the Code in connection to this Option.</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24.</w:t>
      </w:r>
    </w:p>
    <w:p>
      <w:pPr>
        <w:pStyle w:val="TextBody"/>
        <w:bidi w:val="0"/>
        <w:spacing w:before="241" w:after="283"/>
        <w:jc w:val="both"/>
        <w:rPr>
          <w:rFonts w:ascii="Times New Roman" w:hAnsi="Times New Roman"/>
          <w:sz w:val="22"/>
        </w:rPr>
      </w:pPr>
      <w:r>
        <w:rPr>
          <w:rFonts w:ascii="Times New Roman" w:hAnsi="Times New Roman"/>
          <w:color w:val="000000"/>
          <w:sz w:val="22"/>
          <w:u w:val="single"/>
        </w:rPr>
        <w:t>Amendment, Suspension or Termination of the Plan</w:t>
      </w:r>
      <w:r>
        <w:rPr>
          <w:rFonts w:ascii="Times New Roman" w:hAnsi="Times New Roman"/>
          <w:color w:val="000000"/>
          <w:sz w:val="22"/>
        </w:rPr>
        <w:t>. By accepting this Award, Participant expressly warrants that he or she has received an Option under the Plan, and has received, read and understood a description of the Plan. Participant understands that the Plan is discretionary in nature and may be amended, suspended or terminated by the Company at any time.</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25.</w:t>
      </w:r>
    </w:p>
    <w:p>
      <w:pPr>
        <w:pStyle w:val="TextBody"/>
        <w:bidi w:val="0"/>
        <w:spacing w:before="238" w:after="283"/>
        <w:jc w:val="both"/>
        <w:rPr>
          <w:rFonts w:ascii="Times New Roman" w:hAnsi="Times New Roman"/>
          <w:sz w:val="22"/>
        </w:rPr>
      </w:pPr>
      <w:r>
        <w:rPr>
          <w:rFonts w:ascii="Times New Roman" w:hAnsi="Times New Roman"/>
          <w:color w:val="000000"/>
          <w:sz w:val="22"/>
          <w:u w:val="single"/>
        </w:rPr>
        <w:t>Governing Law</w:t>
      </w:r>
      <w:r>
        <w:rPr>
          <w:rFonts w:ascii="Times New Roman" w:hAnsi="Times New Roman"/>
          <w:color w:val="000000"/>
          <w:sz w:val="22"/>
        </w:rPr>
        <w:t>. This Award Agreement will be governed by the laws of the State of Delaware, without giving effect to the conflict of law principles thereof. For purposes of litigating any dispute that arises under this Award Agreement, the parties hereby submit to and consent to the jurisdiction of the federal and state courts located in the judicial district in which the principal offices of the Company are located, and no other courts.</w:t>
      </w:r>
    </w:p>
    <w:p>
      <w:pPr>
        <w:pStyle w:val="TextBody"/>
        <w:bidi w:val="0"/>
        <w:spacing w:before="247" w:after="283"/>
        <w:jc w:val="both"/>
        <w:rPr>
          <w:rFonts w:ascii="Times New Roman" w:hAnsi="Times New Roman"/>
          <w:b/>
          <w:i/>
          <w:color w:val="000000"/>
          <w:sz w:val="22"/>
        </w:rPr>
      </w:pPr>
      <w:r>
        <w:rPr>
          <w:rFonts w:ascii="Times New Roman" w:hAnsi="Times New Roman"/>
          <w:b/>
          <w:i/>
          <w:color w:val="000000"/>
          <w:sz w:val="22"/>
        </w:rPr>
        <w:t>By Participant’s acceptance of this Agreement, Participant and the Company agree that the Option is granted under and governed by the terms and conditions of the Plan and this Award Agreement, including the Terms and Conditions of Stock Option Grant set out herein (including any country-specific addendum thereto). Participant has reviewed the Plan and this Award Agreement in their entirety, has had an opportunity to obtain the advice of counsel prior to accepting this Award Agreement and fully understands all provisions of the Plan and Award Agreement. Participant hereby agrees to accept as binding, conclusive and final all decisions or interpretations of the Administrator upon any questions relating to the Plan and Award Agreement. Participant further agrees to promptly notify the Company, or its designee, or Equiniti, upon any change in his or her residence address.</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Heading1"/>
        <w:bidi w:val="0"/>
        <w:spacing w:before="75" w:after="283"/>
        <w:jc w:val="center"/>
        <w:rPr>
          <w:rFonts w:ascii="Times New Roman" w:hAnsi="Times New Roman"/>
          <w:color w:val="000000"/>
          <w:sz w:val="22"/>
          <w:u w:val="single"/>
        </w:rPr>
      </w:pPr>
      <w:r>
        <w:rPr>
          <w:rFonts w:ascii="Times New Roman" w:hAnsi="Times New Roman"/>
          <w:color w:val="000000"/>
          <w:sz w:val="22"/>
          <w:u w:val="single"/>
        </w:rPr>
        <w:t>EXHIBIT A</w:t>
      </w:r>
    </w:p>
    <w:p>
      <w:pPr>
        <w:pStyle w:val="Heading1"/>
        <w:bidi w:val="0"/>
        <w:spacing w:before="75" w:after="283"/>
        <w:jc w:val="left"/>
        <w:rPr/>
      </w:pPr>
      <w:r>
        <w:rPr/>
        <w:t> </w:t>
      </w:r>
    </w:p>
    <w:p>
      <w:pPr>
        <w:pStyle w:val="Heading1"/>
        <w:bidi w:val="0"/>
        <w:spacing w:before="75" w:after="283"/>
        <w:jc w:val="left"/>
        <w:rPr>
          <w:rFonts w:ascii="Times New Roman" w:hAnsi="Times New Roman"/>
          <w:color w:val="000000"/>
          <w:sz w:val="22"/>
          <w:u w:val="single"/>
        </w:rPr>
      </w:pPr>
      <w:r>
        <w:rPr>
          <w:rFonts w:ascii="Times New Roman" w:hAnsi="Times New Roman"/>
          <w:color w:val="000000"/>
          <w:sz w:val="22"/>
          <w:u w:val="single"/>
        </w:rPr>
        <w:t>Notice of Non-Qualified Stock Option of Arcadia Biosciences, Inc.</w:t>
      </w:r>
    </w:p>
    <w:p>
      <w:pPr>
        <w:pStyle w:val="TextBody"/>
        <w:bidi w:val="0"/>
        <w:spacing w:before="97" w:after="1"/>
        <w:jc w:val="left"/>
        <w:rPr/>
      </w:pPr>
      <w:r>
        <w:rPr/>
        <w:t> </w:t>
      </w:r>
    </w:p>
    <w:tbl>
      <w:tblPr>
        <w:tblW w:w="7682" w:type="dxa"/>
        <w:jc w:val="left"/>
        <w:tblInd w:w="0" w:type="dxa"/>
        <w:tblLayout w:type="fixed"/>
        <w:tblCellMar>
          <w:top w:w="28" w:type="dxa"/>
          <w:left w:w="28" w:type="dxa"/>
          <w:bottom w:w="28" w:type="dxa"/>
          <w:right w:w="28" w:type="dxa"/>
        </w:tblCellMar>
      </w:tblPr>
      <w:tblGrid>
        <w:gridCol w:w="2939"/>
        <w:gridCol w:w="3667"/>
        <w:gridCol w:w="1076"/>
      </w:tblGrid>
      <w:tr>
        <w:trPr/>
        <w:tc>
          <w:tcPr>
            <w:tcW w:w="2939" w:type="dxa"/>
            <w:tcBorders/>
            <w:vAlign w:val="center"/>
          </w:tcPr>
          <w:p>
            <w:pPr>
              <w:pStyle w:val="TableContents"/>
              <w:bidi w:val="0"/>
              <w:spacing w:before="0" w:after="283"/>
              <w:jc w:val="left"/>
              <w:rPr>
                <w:sz w:val="4"/>
                <w:szCs w:val="4"/>
              </w:rPr>
            </w:pPr>
            <w:r>
              <w:rPr>
                <w:sz w:val="4"/>
                <w:szCs w:val="4"/>
              </w:rPr>
            </w:r>
          </w:p>
        </w:tc>
        <w:tc>
          <w:tcPr>
            <w:tcW w:w="3667"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ind w:left="0" w:right="0" w:firstLine="96"/>
              <w:jc w:val="left"/>
              <w:rPr>
                <w:sz w:val="4"/>
                <w:szCs w:val="4"/>
              </w:rPr>
            </w:pPr>
            <w:r>
              <w:rPr>
                <w:sz w:val="4"/>
                <w:szCs w:val="4"/>
              </w:rPr>
            </w:r>
          </w:p>
        </w:tc>
      </w:tr>
      <w:tr>
        <w:trPr/>
        <w:tc>
          <w:tcPr>
            <w:tcW w:w="2939" w:type="dxa"/>
            <w:tcBorders/>
            <w:tcMar>
              <w:top w:w="0" w:type="dxa"/>
              <w:left w:w="0" w:type="dxa"/>
              <w:bottom w:w="0" w:type="dxa"/>
              <w:right w:w="0" w:type="dxa"/>
            </w:tcMar>
            <w:vAlign w:val="center"/>
          </w:tcPr>
          <w:p>
            <w:pPr>
              <w:pStyle w:val="TableContents"/>
              <w:bidi w:val="0"/>
              <w:spacing w:before="0" w:after="283"/>
              <w:ind w:left="0" w:right="0" w:firstLine="46"/>
              <w:jc w:val="left"/>
              <w:rPr>
                <w:rFonts w:ascii="Times New Roman" w:hAnsi="Times New Roman"/>
                <w:color w:val="000000"/>
                <w:sz w:val="22"/>
              </w:rPr>
            </w:pPr>
            <w:r>
              <w:rPr>
                <w:rFonts w:ascii="Times New Roman" w:hAnsi="Times New Roman"/>
                <w:color w:val="000000"/>
                <w:sz w:val="22"/>
              </w:rPr>
              <w:t>Company Name</w:t>
            </w:r>
          </w:p>
        </w:tc>
        <w:tc>
          <w:tcPr>
            <w:tcW w:w="3667" w:type="dxa"/>
            <w:tcBorders/>
            <w:tcMar>
              <w:top w:w="0" w:type="dxa"/>
              <w:left w:w="0" w:type="dxa"/>
              <w:bottom w:w="0" w:type="dxa"/>
              <w:right w:w="0" w:type="dxa"/>
            </w:tcMar>
            <w:vAlign w:val="center"/>
          </w:tcPr>
          <w:p>
            <w:pPr>
              <w:pStyle w:val="TableContents"/>
              <w:bidi w:val="0"/>
              <w:spacing w:before="0" w:after="283"/>
              <w:ind w:left="0" w:right="0" w:firstLine="46"/>
              <w:jc w:val="left"/>
              <w:rPr>
                <w:rFonts w:ascii="Times New Roman" w:hAnsi="Times New Roman"/>
                <w:color w:val="000000"/>
                <w:sz w:val="22"/>
              </w:rPr>
            </w:pPr>
            <w:r>
              <w:rPr>
                <w:rFonts w:ascii="Times New Roman" w:hAnsi="Times New Roman"/>
                <w:color w:val="000000"/>
                <w:sz w:val="22"/>
              </w:rPr>
              <w:t>Arcadia Biosciences, Inc.</w:t>
            </w:r>
          </w:p>
        </w:tc>
        <w:tc>
          <w:tcPr>
            <w:tcW w:w="1076" w:type="dxa"/>
            <w:vMerge w:val="restart"/>
            <w:tcBorders/>
            <w:tcMar>
              <w:top w:w="0" w:type="dxa"/>
              <w:left w:w="0" w:type="dxa"/>
              <w:bottom w:w="0" w:type="dxa"/>
              <w:right w:w="0" w:type="dxa"/>
            </w:tcMar>
            <w:vAlign w:val="center"/>
          </w:tcPr>
          <w:p>
            <w:pPr>
              <w:pStyle w:val="TableContents"/>
              <w:bidi w:val="0"/>
              <w:spacing w:before="0" w:after="283"/>
              <w:ind w:left="0" w:right="0" w:firstLine="96"/>
              <w:jc w:val="left"/>
              <w:rPr/>
            </w:pPr>
            <w:r>
              <w:rPr/>
              <w:t> </w:t>
            </w:r>
          </w:p>
        </w:tc>
      </w:tr>
      <w:tr>
        <w:trPr/>
        <w:tc>
          <w:tcPr>
            <w:tcW w:w="2939" w:type="dxa"/>
            <w:tcBorders/>
            <w:tcMar>
              <w:top w:w="0" w:type="dxa"/>
              <w:left w:w="0" w:type="dxa"/>
              <w:bottom w:w="0" w:type="dxa"/>
              <w:right w:w="0" w:type="dxa"/>
            </w:tcMar>
            <w:vAlign w:val="center"/>
          </w:tcPr>
          <w:p>
            <w:pPr>
              <w:pStyle w:val="TableContents"/>
              <w:bidi w:val="0"/>
              <w:spacing w:before="161" w:after="283"/>
              <w:ind w:left="0" w:right="0" w:firstLine="46"/>
              <w:jc w:val="left"/>
              <w:rPr>
                <w:rFonts w:ascii="Times New Roman" w:hAnsi="Times New Roman"/>
                <w:color w:val="000000"/>
                <w:sz w:val="22"/>
              </w:rPr>
            </w:pPr>
            <w:r>
              <w:rPr>
                <w:rFonts w:ascii="Times New Roman" w:hAnsi="Times New Roman"/>
                <w:color w:val="000000"/>
                <w:sz w:val="22"/>
              </w:rPr>
              <w:t>Plan</w:t>
            </w:r>
          </w:p>
        </w:tc>
        <w:tc>
          <w:tcPr>
            <w:tcW w:w="3667" w:type="dxa"/>
            <w:tcBorders/>
            <w:tcMar>
              <w:top w:w="0" w:type="dxa"/>
              <w:left w:w="0" w:type="dxa"/>
              <w:bottom w:w="0" w:type="dxa"/>
              <w:right w:w="0" w:type="dxa"/>
            </w:tcMar>
            <w:vAlign w:val="center"/>
          </w:tcPr>
          <w:p>
            <w:pPr>
              <w:pStyle w:val="TableContents"/>
              <w:bidi w:val="0"/>
              <w:spacing w:before="161" w:after="283"/>
              <w:ind w:left="0" w:right="0" w:firstLine="96"/>
              <w:jc w:val="left"/>
              <w:rPr>
                <w:rFonts w:ascii="Times New Roman" w:hAnsi="Times New Roman"/>
                <w:color w:val="000000"/>
                <w:sz w:val="22"/>
              </w:rPr>
            </w:pPr>
            <w:r>
              <w:rPr>
                <w:rFonts w:ascii="Times New Roman" w:hAnsi="Times New Roman"/>
                <w:color w:val="000000"/>
                <w:sz w:val="22"/>
              </w:rPr>
              <w:t>2026 Omnibus Equity Incentive Plan</w:t>
            </w:r>
          </w:p>
        </w:tc>
        <w:tc>
          <w:tcPr>
            <w:tcW w:w="1076" w:type="dxa"/>
            <w:vMerge w:val="continue"/>
            <w:tcBorders/>
            <w:tcMar>
              <w:top w:w="0" w:type="dxa"/>
              <w:left w:w="0" w:type="dxa"/>
              <w:bottom w:w="0" w:type="dxa"/>
              <w:right w:w="0" w:type="dxa"/>
            </w:tcMar>
            <w:vAlign w:val="center"/>
          </w:tcPr>
          <w:p>
            <w:pPr>
              <w:pStyle w:val="Normal"/>
              <w:bidi w:val="0"/>
              <w:jc w:val="left"/>
              <w:rPr/>
            </w:pPr>
            <w:r>
              <w:rPr/>
            </w:r>
          </w:p>
        </w:tc>
      </w:tr>
      <w:tr>
        <w:trPr/>
        <w:tc>
          <w:tcPr>
            <w:tcW w:w="2939" w:type="dxa"/>
            <w:tcBorders/>
            <w:tcMar>
              <w:top w:w="0" w:type="dxa"/>
              <w:left w:w="0" w:type="dxa"/>
              <w:bottom w:w="0" w:type="dxa"/>
              <w:right w:w="0" w:type="dxa"/>
            </w:tcMar>
            <w:vAlign w:val="center"/>
          </w:tcPr>
          <w:p>
            <w:pPr>
              <w:pStyle w:val="TableContents"/>
              <w:bidi w:val="0"/>
              <w:spacing w:before="161" w:after="283"/>
              <w:ind w:left="0" w:right="0" w:firstLine="278"/>
              <w:jc w:val="left"/>
              <w:rPr>
                <w:rFonts w:ascii="Times New Roman" w:hAnsi="Times New Roman"/>
                <w:color w:val="000000"/>
                <w:sz w:val="22"/>
              </w:rPr>
            </w:pPr>
            <w:r>
              <w:rPr>
                <w:rFonts w:ascii="Times New Roman" w:hAnsi="Times New Roman"/>
                <w:color w:val="000000"/>
                <w:sz w:val="22"/>
              </w:rPr>
              <w:t>Participant Id</w:t>
            </w:r>
          </w:p>
        </w:tc>
        <w:tc>
          <w:tcPr>
            <w:tcW w:w="3667" w:type="dxa"/>
            <w:tcBorders/>
            <w:tcMar>
              <w:top w:w="0" w:type="dxa"/>
              <w:left w:w="0" w:type="dxa"/>
              <w:bottom w:w="0" w:type="dxa"/>
              <w:right w:w="0" w:type="dxa"/>
            </w:tcMar>
            <w:vAlign w:val="center"/>
          </w:tcPr>
          <w:p>
            <w:pPr>
              <w:pStyle w:val="TableContents"/>
              <w:bidi w:val="0"/>
              <w:spacing w:before="161" w:after="283"/>
              <w:ind w:left="0" w:right="0" w:firstLine="96"/>
              <w:jc w:val="left"/>
              <w:rPr/>
            </w:pPr>
            <w:r>
              <w:rPr/>
              <w:t> </w:t>
            </w:r>
          </w:p>
        </w:tc>
        <w:tc>
          <w:tcPr>
            <w:tcW w:w="1076" w:type="dxa"/>
            <w:vMerge w:val="continue"/>
            <w:tcBorders/>
            <w:tcMar>
              <w:top w:w="0" w:type="dxa"/>
              <w:left w:w="0" w:type="dxa"/>
              <w:bottom w:w="0" w:type="dxa"/>
              <w:right w:w="0" w:type="dxa"/>
            </w:tcMar>
            <w:vAlign w:val="center"/>
          </w:tcPr>
          <w:p>
            <w:pPr>
              <w:pStyle w:val="Normal"/>
              <w:bidi w:val="0"/>
              <w:jc w:val="left"/>
              <w:rPr/>
            </w:pPr>
            <w:r>
              <w:rPr/>
            </w:r>
          </w:p>
        </w:tc>
      </w:tr>
      <w:tr>
        <w:trPr/>
        <w:tc>
          <w:tcPr>
            <w:tcW w:w="2939" w:type="dxa"/>
            <w:tcBorders/>
            <w:tcMar>
              <w:top w:w="0" w:type="dxa"/>
              <w:left w:w="0" w:type="dxa"/>
              <w:bottom w:w="0" w:type="dxa"/>
              <w:right w:w="0" w:type="dxa"/>
            </w:tcMar>
            <w:vAlign w:val="center"/>
          </w:tcPr>
          <w:p>
            <w:pPr>
              <w:pStyle w:val="TableContents"/>
              <w:bidi w:val="0"/>
              <w:spacing w:before="161" w:after="283"/>
              <w:ind w:left="0" w:right="0" w:firstLine="46"/>
              <w:jc w:val="left"/>
              <w:rPr>
                <w:rFonts w:ascii="Times New Roman" w:hAnsi="Times New Roman"/>
                <w:color w:val="000000"/>
                <w:sz w:val="22"/>
              </w:rPr>
            </w:pPr>
            <w:r>
              <w:rPr>
                <w:rFonts w:ascii="Times New Roman" w:hAnsi="Times New Roman"/>
                <w:color w:val="000000"/>
                <w:sz w:val="22"/>
              </w:rPr>
              <w:t>Participant Name</w:t>
            </w:r>
          </w:p>
        </w:tc>
        <w:tc>
          <w:tcPr>
            <w:tcW w:w="3667" w:type="dxa"/>
            <w:tcBorders/>
            <w:tcMar>
              <w:top w:w="0" w:type="dxa"/>
              <w:left w:w="0" w:type="dxa"/>
              <w:bottom w:w="0" w:type="dxa"/>
              <w:right w:w="0" w:type="dxa"/>
            </w:tcMar>
            <w:vAlign w:val="center"/>
          </w:tcPr>
          <w:p>
            <w:pPr>
              <w:pStyle w:val="TableContents"/>
              <w:bidi w:val="0"/>
              <w:spacing w:before="161" w:after="283"/>
              <w:ind w:left="0" w:right="0" w:firstLine="96"/>
              <w:jc w:val="left"/>
              <w:rPr/>
            </w:pPr>
            <w:r>
              <w:rPr/>
              <w:t> </w:t>
            </w:r>
          </w:p>
        </w:tc>
        <w:tc>
          <w:tcPr>
            <w:tcW w:w="1076" w:type="dxa"/>
            <w:vMerge w:val="continue"/>
            <w:tcBorders/>
            <w:tcMar>
              <w:top w:w="0" w:type="dxa"/>
              <w:left w:w="0" w:type="dxa"/>
              <w:bottom w:w="0" w:type="dxa"/>
              <w:right w:w="0" w:type="dxa"/>
            </w:tcMar>
            <w:vAlign w:val="center"/>
          </w:tcPr>
          <w:p>
            <w:pPr>
              <w:pStyle w:val="Normal"/>
              <w:bidi w:val="0"/>
              <w:jc w:val="left"/>
              <w:rPr/>
            </w:pPr>
            <w:r>
              <w:rPr/>
            </w:r>
          </w:p>
        </w:tc>
      </w:tr>
      <w:tr>
        <w:trPr/>
        <w:tc>
          <w:tcPr>
            <w:tcW w:w="2939" w:type="dxa"/>
            <w:tcBorders/>
            <w:tcMar>
              <w:top w:w="0" w:type="dxa"/>
              <w:left w:w="0" w:type="dxa"/>
              <w:bottom w:w="0" w:type="dxa"/>
              <w:right w:w="0" w:type="dxa"/>
            </w:tcMar>
            <w:vAlign w:val="center"/>
          </w:tcPr>
          <w:p>
            <w:pPr>
              <w:pStyle w:val="TableContents"/>
              <w:bidi w:val="0"/>
              <w:spacing w:before="161" w:after="283"/>
              <w:ind w:left="0" w:right="0" w:firstLine="46"/>
              <w:jc w:val="left"/>
              <w:rPr>
                <w:rFonts w:ascii="Times New Roman" w:hAnsi="Times New Roman"/>
                <w:color w:val="000000"/>
                <w:sz w:val="22"/>
              </w:rPr>
            </w:pPr>
            <w:r>
              <w:rPr>
                <w:rFonts w:ascii="Times New Roman" w:hAnsi="Times New Roman"/>
                <w:color w:val="000000"/>
                <w:sz w:val="22"/>
              </w:rPr>
              <w:t>Participant Address</w:t>
            </w:r>
          </w:p>
        </w:tc>
        <w:tc>
          <w:tcPr>
            <w:tcW w:w="3667" w:type="dxa"/>
            <w:tcBorders/>
            <w:tcMar>
              <w:top w:w="0" w:type="dxa"/>
              <w:left w:w="0" w:type="dxa"/>
              <w:bottom w:w="0" w:type="dxa"/>
              <w:right w:w="0" w:type="dxa"/>
            </w:tcMar>
            <w:vAlign w:val="center"/>
          </w:tcPr>
          <w:p>
            <w:pPr>
              <w:pStyle w:val="TableContents"/>
              <w:bidi w:val="0"/>
              <w:spacing w:before="186" w:after="283"/>
              <w:ind w:left="0" w:right="0" w:firstLine="46"/>
              <w:jc w:val="left"/>
              <w:rPr/>
            </w:pPr>
            <w:r>
              <w:rPr/>
              <w:t> </w:t>
            </w:r>
          </w:p>
        </w:tc>
        <w:tc>
          <w:tcPr>
            <w:tcW w:w="1076" w:type="dxa"/>
            <w:tcBorders/>
            <w:tcMar>
              <w:top w:w="0" w:type="dxa"/>
              <w:left w:w="0" w:type="dxa"/>
              <w:bottom w:w="0" w:type="dxa"/>
              <w:right w:w="0" w:type="dxa"/>
            </w:tcMar>
            <w:vAlign w:val="center"/>
          </w:tcPr>
          <w:p>
            <w:pPr>
              <w:pStyle w:val="TableContents"/>
              <w:bidi w:val="0"/>
              <w:spacing w:before="161" w:after="283"/>
              <w:ind w:left="0" w:right="0" w:firstLine="96"/>
              <w:jc w:val="right"/>
              <w:rPr/>
            </w:pPr>
            <w:r>
              <w:rPr/>
              <w:t> </w:t>
            </w:r>
          </w:p>
        </w:tc>
      </w:tr>
      <w:tr>
        <w:trPr/>
        <w:tc>
          <w:tcPr>
            <w:tcW w:w="2939" w:type="dxa"/>
            <w:tcBorders/>
            <w:tcMar>
              <w:top w:w="0" w:type="dxa"/>
              <w:left w:w="0" w:type="dxa"/>
              <w:bottom w:w="0" w:type="dxa"/>
              <w:right w:w="0" w:type="dxa"/>
            </w:tcMar>
            <w:vAlign w:val="center"/>
          </w:tcPr>
          <w:p>
            <w:pPr>
              <w:pStyle w:val="TableContents"/>
              <w:bidi w:val="0"/>
              <w:spacing w:before="161" w:after="283"/>
              <w:ind w:left="0" w:right="0" w:firstLine="46"/>
              <w:jc w:val="left"/>
              <w:rPr>
                <w:rFonts w:ascii="Times New Roman" w:hAnsi="Times New Roman"/>
                <w:color w:val="000000"/>
                <w:sz w:val="22"/>
              </w:rPr>
            </w:pPr>
            <w:r>
              <w:rPr>
                <w:rFonts w:ascii="Times New Roman" w:hAnsi="Times New Roman"/>
                <w:color w:val="000000"/>
                <w:sz w:val="22"/>
              </w:rPr>
              <w:t>Grant/Award Type</w:t>
            </w:r>
          </w:p>
        </w:tc>
        <w:tc>
          <w:tcPr>
            <w:tcW w:w="3667" w:type="dxa"/>
            <w:tcBorders/>
            <w:tcMar>
              <w:top w:w="0" w:type="dxa"/>
              <w:left w:w="0" w:type="dxa"/>
              <w:bottom w:w="0" w:type="dxa"/>
              <w:right w:w="0" w:type="dxa"/>
            </w:tcMar>
            <w:vAlign w:val="center"/>
          </w:tcPr>
          <w:p>
            <w:pPr>
              <w:pStyle w:val="TableContents"/>
              <w:bidi w:val="0"/>
              <w:spacing w:before="161" w:after="283"/>
              <w:ind w:left="0" w:right="0" w:firstLine="46"/>
              <w:jc w:val="left"/>
              <w:rPr>
                <w:rFonts w:ascii="Times New Roman" w:hAnsi="Times New Roman"/>
                <w:color w:val="000000"/>
                <w:sz w:val="22"/>
              </w:rPr>
            </w:pPr>
            <w:r>
              <w:rPr>
                <w:rFonts w:ascii="Times New Roman" w:hAnsi="Times New Roman"/>
                <w:color w:val="000000"/>
                <w:sz w:val="22"/>
              </w:rPr>
              <w:t>Non-Qualified Stock Option</w:t>
            </w:r>
          </w:p>
        </w:tc>
        <w:tc>
          <w:tcPr>
            <w:tcW w:w="1076" w:type="dxa"/>
            <w:tcBorders/>
            <w:tcMar>
              <w:top w:w="0" w:type="dxa"/>
              <w:left w:w="0" w:type="dxa"/>
              <w:bottom w:w="0" w:type="dxa"/>
              <w:right w:w="0" w:type="dxa"/>
            </w:tcMar>
            <w:vAlign w:val="center"/>
          </w:tcPr>
          <w:p>
            <w:pPr>
              <w:pStyle w:val="TableContents"/>
              <w:bidi w:val="0"/>
              <w:spacing w:before="0" w:after="283"/>
              <w:ind w:left="0" w:right="0" w:firstLine="96"/>
              <w:jc w:val="left"/>
              <w:rPr/>
            </w:pPr>
            <w:r>
              <w:rPr/>
              <w:t> </w:t>
            </w:r>
          </w:p>
        </w:tc>
      </w:tr>
      <w:tr>
        <w:trPr/>
        <w:tc>
          <w:tcPr>
            <w:tcW w:w="2939" w:type="dxa"/>
            <w:tcBorders/>
            <w:tcMar>
              <w:top w:w="0" w:type="dxa"/>
              <w:left w:w="0" w:type="dxa"/>
              <w:bottom w:w="0" w:type="dxa"/>
              <w:right w:w="0" w:type="dxa"/>
            </w:tcMar>
            <w:vAlign w:val="center"/>
          </w:tcPr>
          <w:p>
            <w:pPr>
              <w:pStyle w:val="TableContents"/>
              <w:bidi w:val="0"/>
              <w:spacing w:before="161" w:after="283"/>
              <w:ind w:left="0" w:right="0" w:firstLine="278"/>
              <w:jc w:val="left"/>
              <w:rPr>
                <w:rFonts w:ascii="Times New Roman" w:hAnsi="Times New Roman"/>
                <w:color w:val="000000"/>
                <w:sz w:val="22"/>
              </w:rPr>
            </w:pPr>
            <w:r>
              <w:rPr>
                <w:rFonts w:ascii="Times New Roman" w:hAnsi="Times New Roman"/>
                <w:color w:val="000000"/>
                <w:sz w:val="22"/>
              </w:rPr>
              <w:t>Share Amount</w:t>
            </w:r>
          </w:p>
        </w:tc>
        <w:tc>
          <w:tcPr>
            <w:tcW w:w="3667" w:type="dxa"/>
            <w:tcBorders/>
            <w:tcMar>
              <w:top w:w="0" w:type="dxa"/>
              <w:left w:w="0" w:type="dxa"/>
              <w:bottom w:w="0" w:type="dxa"/>
              <w:right w:w="0" w:type="dxa"/>
            </w:tcMar>
            <w:vAlign w:val="center"/>
          </w:tcPr>
          <w:p>
            <w:pPr>
              <w:pStyle w:val="TableContents"/>
              <w:bidi w:val="0"/>
              <w:spacing w:before="161" w:after="283"/>
              <w:ind w:left="0" w:right="0" w:firstLine="278"/>
              <w:jc w:val="left"/>
              <w:rPr/>
            </w:pPr>
            <w:r>
              <w:rPr/>
              <w:t> </w:t>
            </w:r>
          </w:p>
        </w:tc>
        <w:tc>
          <w:tcPr>
            <w:tcW w:w="1076" w:type="dxa"/>
            <w:tcBorders/>
            <w:tcMar>
              <w:top w:w="0" w:type="dxa"/>
              <w:left w:w="0" w:type="dxa"/>
              <w:bottom w:w="0" w:type="dxa"/>
              <w:right w:w="0" w:type="dxa"/>
            </w:tcMar>
            <w:vAlign w:val="center"/>
          </w:tcPr>
          <w:p>
            <w:pPr>
              <w:pStyle w:val="TableContents"/>
              <w:bidi w:val="0"/>
              <w:spacing w:before="0" w:after="283"/>
              <w:ind w:left="0" w:right="0" w:firstLine="96"/>
              <w:jc w:val="left"/>
              <w:rPr/>
            </w:pPr>
            <w:r>
              <w:rPr/>
              <w:t> </w:t>
            </w:r>
          </w:p>
        </w:tc>
      </w:tr>
      <w:tr>
        <w:trPr/>
        <w:tc>
          <w:tcPr>
            <w:tcW w:w="2939" w:type="dxa"/>
            <w:tcBorders/>
            <w:tcMar>
              <w:top w:w="0" w:type="dxa"/>
              <w:left w:w="0" w:type="dxa"/>
              <w:bottom w:w="0" w:type="dxa"/>
              <w:right w:w="0" w:type="dxa"/>
            </w:tcMar>
            <w:vAlign w:val="center"/>
          </w:tcPr>
          <w:p>
            <w:pPr>
              <w:pStyle w:val="TableContents"/>
              <w:bidi w:val="0"/>
              <w:spacing w:before="161" w:after="283"/>
              <w:ind w:left="0" w:right="0" w:firstLine="553"/>
              <w:jc w:val="left"/>
              <w:rPr>
                <w:rFonts w:ascii="Times New Roman" w:hAnsi="Times New Roman"/>
                <w:color w:val="000000"/>
                <w:sz w:val="22"/>
              </w:rPr>
            </w:pPr>
            <w:r>
              <w:rPr>
                <w:rFonts w:ascii="Times New Roman" w:hAnsi="Times New Roman"/>
                <w:color w:val="000000"/>
                <w:sz w:val="22"/>
              </w:rPr>
              <w:t>Grant/Award Date</w:t>
            </w:r>
          </w:p>
        </w:tc>
        <w:tc>
          <w:tcPr>
            <w:tcW w:w="3667" w:type="dxa"/>
            <w:tcBorders/>
            <w:tcMar>
              <w:top w:w="0" w:type="dxa"/>
              <w:left w:w="0" w:type="dxa"/>
              <w:bottom w:w="0" w:type="dxa"/>
              <w:right w:w="0" w:type="dxa"/>
            </w:tcMar>
            <w:vAlign w:val="center"/>
          </w:tcPr>
          <w:p>
            <w:pPr>
              <w:pStyle w:val="TableContents"/>
              <w:bidi w:val="0"/>
              <w:spacing w:before="161" w:after="283"/>
              <w:ind w:left="0" w:right="0" w:firstLine="553"/>
              <w:jc w:val="left"/>
              <w:rPr/>
            </w:pPr>
            <w:r>
              <w:rPr/>
              <w:t> </w:t>
            </w:r>
          </w:p>
        </w:tc>
        <w:tc>
          <w:tcPr>
            <w:tcW w:w="10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39" w:type="dxa"/>
            <w:tcBorders/>
            <w:tcMar>
              <w:top w:w="0" w:type="dxa"/>
              <w:left w:w="0" w:type="dxa"/>
              <w:bottom w:w="0" w:type="dxa"/>
              <w:right w:w="0" w:type="dxa"/>
            </w:tcMar>
            <w:vAlign w:val="center"/>
          </w:tcPr>
          <w:p>
            <w:pPr>
              <w:pStyle w:val="TableContents"/>
              <w:bidi w:val="0"/>
              <w:spacing w:before="161" w:after="283"/>
              <w:ind w:left="0" w:right="0" w:firstLine="553"/>
              <w:jc w:val="left"/>
              <w:rPr>
                <w:rFonts w:ascii="Times New Roman" w:hAnsi="Times New Roman"/>
                <w:color w:val="000000"/>
                <w:sz w:val="22"/>
              </w:rPr>
            </w:pPr>
            <w:r>
              <w:rPr>
                <w:rFonts w:ascii="Times New Roman" w:hAnsi="Times New Roman"/>
                <w:color w:val="000000"/>
                <w:sz w:val="22"/>
              </w:rPr>
              <w:t>Exercise Price per Share</w:t>
            </w:r>
          </w:p>
        </w:tc>
        <w:tc>
          <w:tcPr>
            <w:tcW w:w="3667" w:type="dxa"/>
            <w:tcBorders/>
            <w:tcMar>
              <w:top w:w="0" w:type="dxa"/>
              <w:left w:w="0" w:type="dxa"/>
              <w:bottom w:w="0" w:type="dxa"/>
              <w:right w:w="0" w:type="dxa"/>
            </w:tcMar>
            <w:vAlign w:val="center"/>
          </w:tcPr>
          <w:p>
            <w:pPr>
              <w:pStyle w:val="TableContents"/>
              <w:bidi w:val="0"/>
              <w:spacing w:before="161" w:after="283"/>
              <w:ind w:left="0" w:right="0" w:firstLine="553"/>
              <w:jc w:val="left"/>
              <w:rPr>
                <w:rFonts w:ascii="Times New Roman" w:hAnsi="Times New Roman"/>
                <w:color w:val="000000"/>
                <w:sz w:val="22"/>
              </w:rPr>
            </w:pPr>
            <w:r>
              <w:rPr>
                <w:rFonts w:ascii="Times New Roman" w:hAnsi="Times New Roman"/>
                <w:color w:val="000000"/>
                <w:sz w:val="22"/>
              </w:rPr>
              <w:t>$______</w:t>
            </w:r>
          </w:p>
        </w:tc>
        <w:tc>
          <w:tcPr>
            <w:tcW w:w="10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39" w:type="dxa"/>
            <w:tcBorders/>
            <w:tcMar>
              <w:top w:w="0" w:type="dxa"/>
              <w:left w:w="0" w:type="dxa"/>
              <w:bottom w:w="0" w:type="dxa"/>
              <w:right w:w="0" w:type="dxa"/>
            </w:tcMar>
            <w:vAlign w:val="center"/>
          </w:tcPr>
          <w:p>
            <w:pPr>
              <w:pStyle w:val="TableContents"/>
              <w:bidi w:val="0"/>
              <w:spacing w:before="0" w:after="283"/>
              <w:ind w:left="0" w:right="0" w:firstLine="46"/>
              <w:jc w:val="left"/>
              <w:rPr/>
            </w:pPr>
            <w:r>
              <w:rPr/>
              <w:t> </w:t>
            </w:r>
          </w:p>
        </w:tc>
        <w:tc>
          <w:tcPr>
            <w:tcW w:w="3667" w:type="dxa"/>
            <w:tcBorders/>
            <w:tcMar>
              <w:top w:w="0" w:type="dxa"/>
              <w:left w:w="0" w:type="dxa"/>
              <w:bottom w:w="0" w:type="dxa"/>
              <w:right w:w="0" w:type="dxa"/>
            </w:tcMar>
            <w:vAlign w:val="center"/>
          </w:tcPr>
          <w:p>
            <w:pPr>
              <w:pStyle w:val="TableContents"/>
              <w:bidi w:val="0"/>
              <w:spacing w:before="0" w:after="283"/>
              <w:ind w:left="0" w:right="0" w:firstLine="46"/>
              <w:jc w:val="center"/>
              <w:rPr>
                <w:rFonts w:ascii="Times New Roman" w:hAnsi="Times New Roman"/>
                <w:color w:val="000000"/>
                <w:sz w:val="22"/>
              </w:rPr>
            </w:pPr>
            <w:r>
              <w:rPr>
                <w:rFonts w:ascii="Times New Roman" w:hAnsi="Times New Roman"/>
                <w:color w:val="000000"/>
                <w:sz w:val="22"/>
              </w:rPr>
              <w:t>VESTING SCHEDULE</w:t>
            </w:r>
          </w:p>
        </w:tc>
        <w:tc>
          <w:tcPr>
            <w:tcW w:w="1076"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r>
      <w:tr>
        <w:trPr/>
        <w:tc>
          <w:tcPr>
            <w:tcW w:w="2939" w:type="dxa"/>
            <w:tcBorders/>
            <w:tcMar>
              <w:top w:w="0" w:type="dxa"/>
              <w:left w:w="0" w:type="dxa"/>
              <w:bottom w:w="0" w:type="dxa"/>
              <w:right w:w="0" w:type="dxa"/>
            </w:tcMar>
            <w:vAlign w:val="center"/>
          </w:tcPr>
          <w:p>
            <w:pPr>
              <w:pStyle w:val="TableContents"/>
              <w:bidi w:val="0"/>
              <w:spacing w:before="182" w:after="283"/>
              <w:ind w:left="0" w:right="0" w:firstLine="46"/>
              <w:jc w:val="left"/>
              <w:rPr>
                <w:rFonts w:ascii="Times New Roman" w:hAnsi="Times New Roman"/>
                <w:b/>
                <w:color w:val="000000"/>
                <w:sz w:val="22"/>
              </w:rPr>
            </w:pPr>
            <w:r>
              <w:rPr>
                <w:rFonts w:ascii="Times New Roman" w:hAnsi="Times New Roman"/>
                <w:b/>
                <w:color w:val="000000"/>
                <w:sz w:val="22"/>
              </w:rPr>
              <w:t>Vesting Date</w:t>
            </w:r>
          </w:p>
        </w:tc>
        <w:tc>
          <w:tcPr>
            <w:tcW w:w="3667" w:type="dxa"/>
            <w:tcBorders/>
            <w:tcMar>
              <w:top w:w="0" w:type="dxa"/>
              <w:left w:w="0" w:type="dxa"/>
              <w:bottom w:w="0" w:type="dxa"/>
              <w:right w:w="0" w:type="dxa"/>
            </w:tcMar>
            <w:vAlign w:val="center"/>
          </w:tcPr>
          <w:p>
            <w:pPr>
              <w:pStyle w:val="TableContents"/>
              <w:bidi w:val="0"/>
              <w:spacing w:before="182" w:after="283"/>
              <w:ind w:left="0" w:right="0" w:firstLine="46"/>
              <w:jc w:val="left"/>
              <w:rPr>
                <w:rFonts w:ascii="Times New Roman" w:hAnsi="Times New Roman"/>
                <w:b/>
                <w:color w:val="000000"/>
                <w:sz w:val="22"/>
              </w:rPr>
            </w:pPr>
            <w:r>
              <w:rPr>
                <w:rFonts w:ascii="Times New Roman" w:hAnsi="Times New Roman"/>
                <w:b/>
                <w:color w:val="000000"/>
                <w:sz w:val="22"/>
              </w:rPr>
              <w:t>No. of Shares</w:t>
            </w:r>
          </w:p>
        </w:tc>
        <w:tc>
          <w:tcPr>
            <w:tcW w:w="1076" w:type="dxa"/>
            <w:tcBorders/>
            <w:tcMar>
              <w:top w:w="0" w:type="dxa"/>
              <w:left w:w="0" w:type="dxa"/>
              <w:bottom w:w="0" w:type="dxa"/>
              <w:right w:w="0" w:type="dxa"/>
            </w:tcMar>
            <w:vAlign w:val="center"/>
          </w:tcPr>
          <w:p>
            <w:pPr>
              <w:pStyle w:val="TableContents"/>
              <w:bidi w:val="0"/>
              <w:spacing w:before="182" w:after="283"/>
              <w:ind w:left="0" w:right="0" w:firstLine="175"/>
              <w:jc w:val="left"/>
              <w:rPr>
                <w:rFonts w:ascii="Times New Roman" w:hAnsi="Times New Roman"/>
                <w:b/>
                <w:color w:val="000000"/>
                <w:sz w:val="22"/>
              </w:rPr>
            </w:pPr>
            <w:r>
              <w:rPr>
                <w:rFonts w:ascii="Times New Roman" w:hAnsi="Times New Roman"/>
                <w:b/>
                <w:color w:val="000000"/>
                <w:sz w:val="22"/>
              </w:rPr>
              <w:t>Percent</w:t>
            </w:r>
          </w:p>
        </w:tc>
      </w:tr>
      <w:tr>
        <w:trPr/>
        <w:tc>
          <w:tcPr>
            <w:tcW w:w="2939" w:type="dxa"/>
            <w:tcBorders/>
            <w:tcMar>
              <w:top w:w="0" w:type="dxa"/>
              <w:left w:w="0" w:type="dxa"/>
              <w:bottom w:w="0" w:type="dxa"/>
              <w:right w:w="0" w:type="dxa"/>
            </w:tcMar>
            <w:vAlign w:val="center"/>
          </w:tcPr>
          <w:p>
            <w:pPr>
              <w:pStyle w:val="TableContents"/>
              <w:bidi w:val="0"/>
              <w:spacing w:before="18" w:after="283"/>
              <w:ind w:left="0" w:right="0" w:firstLine="46"/>
              <w:jc w:val="left"/>
              <w:rPr>
                <w:rFonts w:ascii="Times New Roman" w:hAnsi="Times New Roman"/>
                <w:color w:val="000000"/>
                <w:sz w:val="22"/>
              </w:rPr>
            </w:pPr>
            <w:r>
              <w:rPr>
                <w:rFonts w:ascii="Times New Roman" w:hAnsi="Times New Roman"/>
                <w:color w:val="000000"/>
                <w:sz w:val="22"/>
              </w:rPr>
              <w:t>__/__/20__</w:t>
            </w:r>
          </w:p>
        </w:tc>
        <w:tc>
          <w:tcPr>
            <w:tcW w:w="3667" w:type="dxa"/>
            <w:tcBorders/>
            <w:tcMar>
              <w:top w:w="0" w:type="dxa"/>
              <w:left w:w="0" w:type="dxa"/>
              <w:bottom w:w="0" w:type="dxa"/>
              <w:right w:w="0" w:type="dxa"/>
            </w:tcMar>
            <w:vAlign w:val="center"/>
          </w:tcPr>
          <w:p>
            <w:pPr>
              <w:pStyle w:val="TableContents"/>
              <w:bidi w:val="0"/>
              <w:spacing w:before="18" w:after="283"/>
              <w:ind w:left="0" w:right="0" w:firstLine="35"/>
              <w:jc w:val="both"/>
              <w:rPr/>
            </w:pPr>
            <w:r>
              <w:rPr/>
              <w:t> </w:t>
            </w:r>
          </w:p>
        </w:tc>
        <w:tc>
          <w:tcPr>
            <w:tcW w:w="1076" w:type="dxa"/>
            <w:tcBorders/>
            <w:tcMar>
              <w:top w:w="0" w:type="dxa"/>
              <w:left w:w="0" w:type="dxa"/>
              <w:bottom w:w="0" w:type="dxa"/>
              <w:right w:w="0" w:type="dxa"/>
            </w:tcMar>
            <w:vAlign w:val="center"/>
          </w:tcPr>
          <w:p>
            <w:pPr>
              <w:pStyle w:val="TableContents"/>
              <w:bidi w:val="0"/>
              <w:spacing w:before="18" w:after="283"/>
              <w:ind w:left="0" w:right="0" w:firstLine="35"/>
              <w:jc w:val="left"/>
              <w:rPr>
                <w:rFonts w:ascii="Times New Roman" w:hAnsi="Times New Roman"/>
                <w:color w:val="000000"/>
                <w:sz w:val="22"/>
              </w:rPr>
            </w:pPr>
            <w:r>
              <w:rPr>
                <w:rFonts w:ascii="Times New Roman" w:hAnsi="Times New Roman"/>
                <w:color w:val="000000"/>
                <w:sz w:val="22"/>
              </w:rPr>
              <w:t>[100.0]</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
        </w:rPr>
      </w:pPr>
      <w:r>
        <w:rPr>
          <w:rFonts w:ascii="Times New Roman" w:hAnsi="Times New Roman"/>
          <w:color w:val="000000"/>
          <w:sz w:val="2"/>
        </w:rPr>
        <w:t>DOCPROPERTY iManageFooter \* MERGEFORMAT #5446640v1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2"/>
        </w:rPr>
      </w:pPr>
      <w:r>
        <w:rPr>
          <w:rFonts w:ascii="Times New Roman" w:hAnsi="Times New Roman"/>
          <w:b/>
          <w:color w:val="000000"/>
          <w:sz w:val="22"/>
          <w:u w:val="single"/>
        </w:rPr>
        <w:t>EXHIBIT B</w:t>
      </w:r>
      <w:r>
        <w:rPr>
          <w:rFonts w:ascii="Times New Roman" w:hAnsi="Times New Roman"/>
          <w:color w:val="000000"/>
          <w:sz w:val="22"/>
        </w:rPr>
        <w:t xml:space="preserve"> </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ARCADIA BIOSCIENCES, INC.</w:t>
      </w:r>
    </w:p>
    <w:p>
      <w:pPr>
        <w:pStyle w:val="TextBody"/>
        <w:bidi w:val="0"/>
        <w:jc w:val="center"/>
        <w:rPr>
          <w:rFonts w:ascii="Times New Roman" w:hAnsi="Times New Roman"/>
          <w:b/>
          <w:color w:val="000000"/>
          <w:sz w:val="22"/>
        </w:rPr>
      </w:pPr>
      <w:r>
        <w:rPr>
          <w:rFonts w:ascii="Times New Roman" w:hAnsi="Times New Roman"/>
          <w:b/>
          <w:color w:val="000000"/>
          <w:sz w:val="22"/>
        </w:rPr>
        <w:t>2026 OMNIBUS EQUITY INCENTIVE PLAN EXERCISE NOTICE</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SUBJECT TO VERFICATION BY ADMINISTRATOR</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Arcadia Biosciences, Inc.</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5956 Sherry Lane, Suite 2000</w:t>
      </w:r>
    </w:p>
    <w:p>
      <w:pPr>
        <w:pStyle w:val="TextBody"/>
        <w:bidi w:val="0"/>
        <w:jc w:val="left"/>
        <w:rPr>
          <w:rFonts w:ascii="Times New Roman" w:hAnsi="Times New Roman"/>
          <w:color w:val="000000"/>
          <w:sz w:val="22"/>
        </w:rPr>
      </w:pPr>
      <w:r>
        <w:rPr>
          <w:rFonts w:ascii="Times New Roman" w:hAnsi="Times New Roman"/>
          <w:color w:val="000000"/>
          <w:sz w:val="22"/>
        </w:rPr>
        <w:t>Dallas, TX 75225</w:t>
      </w:r>
    </w:p>
    <w:p>
      <w:pPr>
        <w:pStyle w:val="TextBody"/>
        <w:bidi w:val="0"/>
        <w:jc w:val="left"/>
        <w:rPr>
          <w:rFonts w:ascii="Times New Roman" w:hAnsi="Times New Roman"/>
          <w:color w:val="000000"/>
          <w:sz w:val="22"/>
        </w:rPr>
      </w:pPr>
      <w:r>
        <w:rPr>
          <w:rFonts w:ascii="Times New Roman" w:hAnsi="Times New Roman"/>
          <w:color w:val="000000"/>
          <w:sz w:val="22"/>
        </w:rPr>
        <w:t>Attention: Secretary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rFonts w:ascii="Times New Roman" w:hAnsi="Times New Roman"/>
          <w:sz w:val="22"/>
        </w:rPr>
      </w:pPr>
      <w:r>
        <w:rPr>
          <w:rFonts w:ascii="Times New Roman" w:hAnsi="Times New Roman"/>
          <w:color w:val="000000"/>
          <w:sz w:val="22"/>
          <w:u w:val="single"/>
        </w:rPr>
        <w:t>Exercise of Option</w:t>
      </w:r>
      <w:r>
        <w:rPr>
          <w:rFonts w:ascii="Times New Roman" w:hAnsi="Times New Roman"/>
          <w:color w:val="000000"/>
          <w:sz w:val="22"/>
        </w:rPr>
        <w:t>. Effective as of today, ,</w:t>
      </w:r>
    </w:p>
    <w:p>
      <w:pPr>
        <w:pStyle w:val="TextBody"/>
        <w:bidi w:val="0"/>
        <w:jc w:val="left"/>
        <w:rPr>
          <w:rFonts w:ascii="Times New Roman" w:hAnsi="Times New Roman"/>
          <w:sz w:val="22"/>
        </w:rPr>
      </w:pPr>
      <w:r>
        <w:rPr>
          <w:rFonts w:ascii="Times New Roman" w:hAnsi="Times New Roman"/>
          <w:color w:val="000000"/>
          <w:sz w:val="22"/>
        </w:rPr>
        <w:t>, the undersigned (“</w:t>
      </w:r>
      <w:r>
        <w:rPr>
          <w:rFonts w:ascii="Times New Roman" w:hAnsi="Times New Roman"/>
          <w:b/>
          <w:i/>
          <w:color w:val="000000"/>
          <w:sz w:val="22"/>
        </w:rPr>
        <w:t>Purchaser</w:t>
      </w:r>
      <w:r>
        <w:rPr>
          <w:rFonts w:ascii="Times New Roman" w:hAnsi="Times New Roman"/>
          <w:color w:val="000000"/>
          <w:sz w:val="22"/>
        </w:rPr>
        <w:t>”) hereby elects to purchase shares (the “</w:t>
      </w:r>
      <w:r>
        <w:rPr>
          <w:rFonts w:ascii="Times New Roman" w:hAnsi="Times New Roman"/>
          <w:b/>
          <w:i/>
          <w:color w:val="000000"/>
          <w:sz w:val="22"/>
        </w:rPr>
        <w:t>Shares</w:t>
      </w:r>
      <w:r>
        <w:rPr>
          <w:rFonts w:ascii="Times New Roman" w:hAnsi="Times New Roman"/>
          <w:color w:val="000000"/>
          <w:sz w:val="22"/>
        </w:rPr>
        <w:t>”) of the Common Stock of Arcadia Biosciences, Inc. (the “</w:t>
      </w:r>
      <w:r>
        <w:rPr>
          <w:rFonts w:ascii="Times New Roman" w:hAnsi="Times New Roman"/>
          <w:b/>
          <w:i/>
          <w:color w:val="000000"/>
          <w:sz w:val="22"/>
        </w:rPr>
        <w:t>Company</w:t>
      </w:r>
      <w:r>
        <w:rPr>
          <w:rFonts w:ascii="Times New Roman" w:hAnsi="Times New Roman"/>
          <w:color w:val="000000"/>
          <w:sz w:val="22"/>
        </w:rPr>
        <w:t>”) under and pursuant to the 2026 Omnibus Equity Incentive Plan (the “</w:t>
      </w:r>
      <w:r>
        <w:rPr>
          <w:rFonts w:ascii="Times New Roman" w:hAnsi="Times New Roman"/>
          <w:b/>
          <w:i/>
          <w:color w:val="000000"/>
          <w:sz w:val="22"/>
        </w:rPr>
        <w:t>Plan</w:t>
      </w:r>
      <w:r>
        <w:rPr>
          <w:rFonts w:ascii="Times New Roman" w:hAnsi="Times New Roman"/>
          <w:color w:val="000000"/>
          <w:sz w:val="22"/>
        </w:rPr>
        <w:t>”) and the Stock Option Award Agreement dated _________, 20__ (the “</w:t>
      </w:r>
      <w:r>
        <w:rPr>
          <w:rFonts w:ascii="Times New Roman" w:hAnsi="Times New Roman"/>
          <w:b/>
          <w:i/>
          <w:color w:val="000000"/>
          <w:sz w:val="22"/>
        </w:rPr>
        <w:t>Award Agreement</w:t>
      </w:r>
      <w:r>
        <w:rPr>
          <w:rFonts w:ascii="Times New Roman" w:hAnsi="Times New Roman"/>
          <w:color w:val="000000"/>
          <w:sz w:val="22"/>
        </w:rPr>
        <w:t>”). The purchase price for the Shares will be XX Dollars (US$XX.00) per share, as required by the Award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left"/>
        <w:rPr>
          <w:rFonts w:ascii="Times New Roman" w:hAnsi="Times New Roman"/>
          <w:sz w:val="22"/>
        </w:rPr>
      </w:pPr>
      <w:r>
        <w:rPr>
          <w:rFonts w:ascii="Times New Roman" w:hAnsi="Times New Roman"/>
          <w:color w:val="000000"/>
          <w:sz w:val="22"/>
          <w:u w:val="single"/>
        </w:rPr>
        <w:t>Delivery of Payment</w:t>
      </w:r>
      <w:r>
        <w:rPr>
          <w:rFonts w:ascii="Times New Roman" w:hAnsi="Times New Roman"/>
          <w:color w:val="000000"/>
          <w:sz w:val="22"/>
        </w:rPr>
        <w:t>. Purchaser herewith delivers to the Company the full purchase price of the Shares and any required tax withholding to be paid in connection with the exercise of the Option.</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241" w:after="283"/>
        <w:jc w:val="left"/>
        <w:rPr>
          <w:rFonts w:ascii="Times New Roman" w:hAnsi="Times New Roman"/>
          <w:sz w:val="22"/>
        </w:rPr>
      </w:pPr>
      <w:r>
        <w:rPr>
          <w:rFonts w:ascii="Times New Roman" w:hAnsi="Times New Roman"/>
          <w:color w:val="000000"/>
          <w:sz w:val="22"/>
          <w:u w:val="single"/>
        </w:rPr>
        <w:t>Representations of Purchaser</w:t>
      </w:r>
      <w:r>
        <w:rPr>
          <w:rFonts w:ascii="Times New Roman" w:hAnsi="Times New Roman"/>
          <w:color w:val="000000"/>
          <w:sz w:val="22"/>
        </w:rPr>
        <w:t>. Purchaser acknowledges that Purchaser has received, read and understood the Plan and the Award Agreement and agrees to abide by and be bound by their terms and conditions.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left"/>
        <w:rPr>
          <w:rFonts w:ascii="Times New Roman" w:hAnsi="Times New Roman"/>
          <w:sz w:val="22"/>
        </w:rPr>
      </w:pPr>
      <w:r>
        <w:rPr>
          <w:rFonts w:ascii="Times New Roman" w:hAnsi="Times New Roman"/>
          <w:color w:val="000000"/>
          <w:sz w:val="22"/>
          <w:u w:val="single"/>
        </w:rPr>
        <w:t>Rights as Stockholder</w:t>
      </w:r>
      <w:r>
        <w:rPr>
          <w:rFonts w:ascii="Times New Roman" w:hAnsi="Times New Roman"/>
          <w:color w:val="000000"/>
          <w:sz w:val="22"/>
        </w:rPr>
        <w:t>.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13 of the Plan.</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5.</w:t>
      </w:r>
    </w:p>
    <w:p>
      <w:pPr>
        <w:pStyle w:val="TextBody"/>
        <w:bidi w:val="0"/>
        <w:spacing w:before="241" w:after="283"/>
        <w:jc w:val="left"/>
        <w:rPr>
          <w:rFonts w:ascii="Times New Roman" w:hAnsi="Times New Roman"/>
          <w:sz w:val="22"/>
        </w:rPr>
      </w:pPr>
      <w:r>
        <w:rPr>
          <w:rFonts w:ascii="Times New Roman" w:hAnsi="Times New Roman"/>
          <w:color w:val="000000"/>
          <w:sz w:val="22"/>
          <w:u w:val="single"/>
        </w:rPr>
        <w:t>Tax Consultation</w:t>
      </w:r>
      <w:r>
        <w:rPr>
          <w:rFonts w:ascii="Times New Roman" w:hAnsi="Times New Roman"/>
          <w:color w:val="000000"/>
          <w:sz w:val="22"/>
        </w:rPr>
        <w:t>. Purchaser understands that Purchaser may suffer adverse tax consequences as a result of Purchaser’s purchase or disposition of the Shares. Purchaser represents that Purchaser has consulted with any tax consultants Purchaser deems advisable in connection with the purchase or disposition of the Shares and that Purchaser is not relying on the Company for any tax advice.</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6.</w:t>
      </w:r>
    </w:p>
    <w:p>
      <w:pPr>
        <w:pStyle w:val="TextBody"/>
        <w:bidi w:val="0"/>
        <w:spacing w:before="60" w:after="283"/>
        <w:jc w:val="left"/>
        <w:rPr>
          <w:rFonts w:ascii="Times New Roman" w:hAnsi="Times New Roman"/>
          <w:sz w:val="22"/>
        </w:rPr>
      </w:pPr>
      <w:r>
        <w:rPr>
          <w:rFonts w:ascii="Times New Roman" w:hAnsi="Times New Roman"/>
          <w:color w:val="000000"/>
          <w:sz w:val="22"/>
          <w:u w:val="single"/>
        </w:rPr>
        <w:t>Entire Agreement; Governing Law</w:t>
      </w:r>
      <w:r>
        <w:rPr>
          <w:rFonts w:ascii="Times New Roman" w:hAnsi="Times New Roman"/>
          <w:color w:val="000000"/>
          <w:sz w:val="22"/>
        </w:rPr>
        <w:t>. The Plan and Award Agreement are incorporated herein by reference. This Exercise Notice, the Plan and the Award Agreement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agreement is governed by the internal substantive laws, but not the choice of law rules, of the State of Delaware.</w:t>
      </w:r>
    </w:p>
    <w:p>
      <w:pPr>
        <w:pStyle w:val="TextBody"/>
        <w:bidi w:val="0"/>
        <w:jc w:val="left"/>
        <w:rPr/>
      </w:pPr>
      <w:r>
        <w:rPr/>
        <w:t> </w:t>
      </w:r>
    </w:p>
    <w:p>
      <w:pPr>
        <w:pStyle w:val="TextBody"/>
        <w:bidi w:val="0"/>
        <w:spacing w:before="10" w:after="283"/>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DOCPROPERTY iManageFooter \* MERGEFORMAT #5446640v1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Submitted by: Accepted by:</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PURCHASER ARCADIA BIOSCIENCES, INC.</w:t>
      </w:r>
    </w:p>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_____________________________ ___________________________</w:t>
      </w:r>
    </w:p>
    <w:p>
      <w:pPr>
        <w:pStyle w:val="TextBody"/>
        <w:bidi w:val="0"/>
        <w:jc w:val="left"/>
        <w:rPr>
          <w:rFonts w:ascii="Times New Roman" w:hAnsi="Times New Roman"/>
          <w:color w:val="000000"/>
          <w:sz w:val="22"/>
        </w:rPr>
      </w:pPr>
      <w:r>
        <w:rPr>
          <w:rFonts w:ascii="Times New Roman" w:hAnsi="Times New Roman"/>
          <w:color w:val="000000"/>
          <w:sz w:val="22"/>
        </w:rPr>
        <w:t>By:</w:t>
      </w:r>
    </w:p>
    <w:p>
      <w:pPr>
        <w:pStyle w:val="TextBody"/>
        <w:bidi w:val="0"/>
        <w:jc w:val="left"/>
        <w:rPr>
          <w:rFonts w:ascii="Times New Roman" w:hAnsi="Times New Roman"/>
          <w:color w:val="000000"/>
          <w:sz w:val="22"/>
        </w:rPr>
      </w:pPr>
      <w:r>
        <w:rPr>
          <w:rFonts w:ascii="Times New Roman" w:hAnsi="Times New Roman"/>
          <w:color w:val="000000"/>
          <w:sz w:val="22"/>
        </w:rPr>
        <w:t xml:space="preserve">Title: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Residence Address: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______________</w:t>
      </w:r>
    </w:p>
    <w:p>
      <w:pPr>
        <w:pStyle w:val="TextBody"/>
        <w:bidi w:val="0"/>
        <w:jc w:val="left"/>
        <w:rPr>
          <w:rFonts w:ascii="Times New Roman" w:hAnsi="Times New Roman"/>
          <w:color w:val="000000"/>
          <w:sz w:val="22"/>
        </w:rPr>
      </w:pPr>
      <w:r>
        <w:rPr>
          <w:rFonts w:ascii="Times New Roman" w:hAnsi="Times New Roman"/>
          <w:color w:val="000000"/>
          <w:sz w:val="22"/>
        </w:rPr>
        <w:t>_______________</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Date received: ____________</w:t>
      </w:r>
    </w:p>
    <w:p>
      <w:pPr>
        <w:pStyle w:val="TextBody"/>
        <w:bidi w:val="0"/>
        <w:spacing w:before="24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0" w:after="283"/>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DOCPROPERTY iManageFooter \* MERGEFORMAT #5446640v1</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24811</Words>
  <Characters>129837</Characters>
  <CharactersWithSpaces>154191</CharactersWithSpaces>
  <Paragraphs>991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