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kda-20260804.htm"/>
      <w:bookmarkStart w:id="1" w:name="ksrkda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Arcadia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81-0571538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5956 Sherry Lane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214</w:t>
            </w:r>
            <w:r>
              <w:rPr>
                <w:rFonts w:ascii="Times New Roman" w:hAnsi="Times New Roman"/>
                <w:color w:val="000000"/>
                <w:sz w:val="20"/>
              </w:rPr>
              <w:t xml:space="preserve"> </w:t>
            </w:r>
            <w:r>
              <w:rPr>
                <w:rFonts w:ascii="Times New Roman" w:hAnsi="Times New Roman"/>
                <w:b/>
                <w:color w:val="000000"/>
                <w:sz w:val="20"/>
              </w:rPr>
              <w:t>974-8921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RKDA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3.01 Notice of Delisting or Failure to Satisfy a Continued Listing Rule or Standard; Transfer of Listing.</w:t>
      </w:r>
    </w:p>
    <w:p>
      <w:pPr>
        <w:pStyle w:val="TextBody"/>
        <w:bidi w:val="0"/>
        <w:jc w:val="left"/>
        <w:rPr>
          <w:rFonts w:ascii="Times New Roman" w:hAnsi="Times New Roman"/>
          <w:color w:val="000000"/>
          <w:sz w:val="20"/>
        </w:rPr>
      </w:pPr>
      <w:r>
        <w:rPr>
          <w:rFonts w:ascii="Times New Roman" w:hAnsi="Times New Roman"/>
          <w:color w:val="000000"/>
          <w:sz w:val="20"/>
        </w:rPr>
        <w:t>On August 4, 2026, Arcadia Biosciences, Inc. (the “Company”) received a letter (the “Notice”) from the Listing Qualifications Department of The Nasdaq Stock Market LLC (“Nasdaq”) notifying the Company that it is not in compliance with the minimum bid price requirement for continued listing on The Nasdaq Capital Market under Nasdaq Listing Rule 5550(a)(2) (the “Rule”), which requires listed securities to maintain a minimum bid price of $1.00 per share (the “Minimum Bid Price Requirement”) for continued listing on The Nasdaq Capital Market. The Notice stated that, based upon the closing bid price of the Company’s common stock (“Common Stock”) for the last 30 consecutive business days, from June 22, 2026 to August 3, 2026, the Company no longer satisfies the minimum bid price requirement.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Notice has no immediate effect on the listing or trading of the Common Stock on The Nasdaq Capital Market, which will continue to trade on The Nasdaq Capital Market under the symbol “RKDA.”</w:t>
      </w:r>
    </w:p>
    <w:p>
      <w:pPr>
        <w:pStyle w:val="TextBody"/>
        <w:bidi w:val="0"/>
        <w:jc w:val="left"/>
        <w:rPr>
          <w:rFonts w:ascii="Times New Roman" w:hAnsi="Times New Roman"/>
          <w:color w:val="000000"/>
          <w:sz w:val="20"/>
        </w:rPr>
      </w:pPr>
      <w:r>
        <w:rPr>
          <w:rFonts w:ascii="Times New Roman" w:hAnsi="Times New Roman"/>
          <w:color w:val="000000"/>
          <w:sz w:val="20"/>
        </w:rPr>
        <w:t xml:space="preserve">In accordance with Nasdaq Listing Rule 5810(c)(3)(A), the Company has been provided an initial compliance period of 180 calendar days, or until February 1, 2027, to regain compliance with the Minimum Bid Price Requirement. During the compliance period, the Company’s Common Stock will continue to be listed and traded on The Nasdaq Capital Market. To regain compliance, the closing bid price of the Common Stock must meet or exceed $1.00 per share for a minimum of ten consecutive business days during the compliance period. Nasdaq may, in its discretion, require the Company to satisfy the minimum bid price requirement for a period in excess of ten consecutive business days before determining that the Company has demonstrated an ability to maintain long-term compliance.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the Company is not in compliance with the Minimum Bid Price Requirement by February 1, 2027, the Company may be eligible for an additional 180 calendar day compliance period, provided that it satisfies the continued listing requirements for market value of publicly held shares and all other initial listing standards for The Nasdaq Capital Market, with the exception of the Minimum Bid Price Requirement, and provides written notice to Nasdaq of its intention to cure the minimum bid price deficiency during this second 180-day compliance period including, if necessary, by effecting a reverse stock split. If the Company is not eligible for an additional compliance period, or otherwise does not appear capable of curing the deficiency, Nasdaq may provide notice that the Company’s Common Stock will be subject to delisting. In that event, the Company would have the opportunity to appeal Nasdaq’s determination to a Nasdaq Hearings Panel.</w:t>
      </w:r>
    </w:p>
    <w:p>
      <w:pPr>
        <w:pStyle w:val="TextBody"/>
        <w:bidi w:val="0"/>
        <w:jc w:val="left"/>
        <w:rPr/>
      </w:pPr>
      <w:r>
        <w:rPr/>
        <w:t> </w:t>
      </w:r>
    </w:p>
    <w:p>
      <w:pPr>
        <w:pStyle w:val="TextBody"/>
        <w:bidi w:val="0"/>
        <w:spacing w:before="0" w:after="240"/>
        <w:jc w:val="left"/>
        <w:rPr>
          <w:rFonts w:ascii="Times New Roman" w:hAnsi="Times New Roman"/>
          <w:color w:val="212529"/>
          <w:sz w:val="20"/>
        </w:rPr>
      </w:pPr>
      <w:r>
        <w:rPr>
          <w:rFonts w:ascii="Times New Roman" w:hAnsi="Times New Roman"/>
          <w:color w:val="212529"/>
          <w:sz w:val="20"/>
        </w:rPr>
        <w:t>The Company intends to actively monitor the closing bid price of the Common Stock and evaluate available options to regain compliance with the Minimum Bid Price Requirement, including, if necessary, effecting a reverse stock split. There can be no assurance that the Company will regain compliance with Nasdaq Listing Rule 5550(a)(2) during the initial compliance period or any additional compliance period, or that the Company will otherwise maintain compliance with the other Nasdaq listing requirements.</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8196" w:type="dxa"/>
        <w:jc w:val="left"/>
        <w:tblInd w:w="0" w:type="dxa"/>
        <w:tblLayout w:type="fixed"/>
        <w:tblCellMar>
          <w:top w:w="28" w:type="dxa"/>
          <w:left w:w="28" w:type="dxa"/>
          <w:bottom w:w="28" w:type="dxa"/>
          <w:right w:w="28" w:type="dxa"/>
        </w:tblCellMar>
      </w:tblPr>
      <w:tblGrid>
        <w:gridCol w:w="1486"/>
        <w:gridCol w:w="109"/>
        <w:gridCol w:w="6601"/>
      </w:tblGrid>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86" w:type="dxa"/>
            <w:tcBorders>
              <w:top w:val="single" w:sz="2" w:space="0" w:color="000000"/>
              <w:left w:val="single" w:sz="2" w:space="0" w:color="000000"/>
              <w:bottom w:val="single" w:sz="8" w:space="0" w:color="000000"/>
              <w:right w:val="single" w:sz="2" w:space="0" w:color="000000"/>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109"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6601" w:type="dxa"/>
            <w:tcBorders>
              <w:top w:val="single" w:sz="2" w:space="0" w:color="000000"/>
              <w:bottom w:val="single" w:sz="8" w:space="0" w:color="000000"/>
              <w:right w:val="single" w:sz="2" w:space="0" w:color="000000"/>
            </w:tcBorders>
            <w:shd w:fill="FFFFFF" w:val="clear"/>
            <w:tcMar>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64" w:type="dxa"/>
        <w:jc w:val="left"/>
        <w:tblInd w:w="0" w:type="dxa"/>
        <w:tblLayout w:type="fixed"/>
        <w:tblCellMar>
          <w:top w:w="28" w:type="dxa"/>
          <w:left w:w="28" w:type="dxa"/>
          <w:bottom w:w="28" w:type="dxa"/>
          <w:right w:w="28" w:type="dxa"/>
        </w:tblCellMar>
      </w:tblPr>
      <w:tblGrid>
        <w:gridCol w:w="556"/>
        <w:gridCol w:w="1351"/>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ARCADIA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J. Schaefer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Thomas J. Schaefer,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4859</Characters>
  <CharactersWithSpaces>5739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