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Murray Lilian Shackelford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ARCADIA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5956 SHERRY LANE, SUITE 2000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Arcadia Biosciences, Inc.</w:t>
              </w:r>
            </w:hyperlink>
            <w:r>
              <w:rPr/>
              <w:t xml:space="preserve"> [ </w:t>
            </w:r>
            <w:r>
              <w:rPr>
                <w:rFonts w:ascii="Times;serif" w:hAnsi="Times;serif"/>
                <w:color w:val="0000FF"/>
                <w:sz w:val="24"/>
                <w:shd w:fill="FFFFFF" w:val="clear"/>
              </w:rPr>
              <w:t>RKDA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0.46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23,287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become 100% vested and exercisable on the earlier to occur of (i) September 10, 2027 or (ii) the date of the Issuer's next Annual Meeting of Stockholders, subject to the Participant's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Lilian Shackelford Murray, by Attorney-in-fact, Solaeta Chan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3173" TargetMode="External"/><Relationship Id="rId5" Type="http://schemas.openxmlformats.org/officeDocument/2006/relationships/hyperlink" Target="http://www.sec.gov/cgi-bin/browse-edgar?action=getcompany&amp;CIK=00014694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3343</Characters>
  <CharactersWithSpaces>3885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