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kda-20260514.htm"/>
      <w:bookmarkStart w:id="1" w:name="ksrkda2026051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Arcadia Biosciences,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001-37383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81-0571538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5956 Sherry Lane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214</w:t>
            </w:r>
            <w:r>
              <w:rPr>
                <w:rFonts w:ascii="Times New Roman" w:hAnsi="Times New Roman"/>
                <w:color w:val="000000"/>
                <w:sz w:val="20"/>
              </w:rPr>
              <w:t xml:space="preserve"> </w:t>
            </w:r>
            <w:r>
              <w:rPr>
                <w:rFonts w:ascii="Times New Roman" w:hAnsi="Times New Roman"/>
                <w:b/>
                <w:color w:val="000000"/>
                <w:sz w:val="20"/>
              </w:rPr>
              <w:t>974-8921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RKDA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May 14, 2026 Arcadia Biosciences, Inc. (the “Company”) issued a press release announcing financial results for the first quarter of 2026. A copy of the press release is furnished as Exhibit 99.1, and the Company's financial information tables are furnished as Exhibit 99.2, to this Current Report on Form 8-K and are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in this Form 8-K, the press release attached as Exhibit 99.1, and the financial information attached as Exhibit 99.2, shall not be deemed “filed” for purposes of Section 18 of the Securities Exchange Act of 1934, as amended, or otherwise subject to the liabilities of that section or Sections 11 and 12(a)(2) of the Securities Act of 1933, as amended. The information contained in this Item 2.02, in the press release attached as Exhibit 99.1, and in the financial information attached as Exhibit 99.2, shall not be incorporated by reference into any filing with the U.S. Securities and Exchange Commission made by the Company, whether made before or after the date hereof, regardless of any general incorporation language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0" w:after="120"/>
        <w:jc w:val="left"/>
        <w:rPr>
          <w:rFonts w:ascii="Times New Roman" w:hAnsi="Times New Roman"/>
          <w:b w:val="false"/>
          <w:color w:val="000000"/>
          <w:sz w:val="20"/>
        </w:rPr>
      </w:pPr>
      <w:r>
        <w:rPr>
          <w:rFonts w:ascii="Times New Roman" w:hAnsi="Times New Roman"/>
          <w:b w:val="false"/>
          <w:color w:val="000000"/>
          <w:sz w:val="20"/>
        </w:rPr>
        <w:t>(d) Exhibits</w:t>
      </w:r>
    </w:p>
    <w:tbl>
      <w:tblPr>
        <w:tblW w:w="8826" w:type="dxa"/>
        <w:jc w:val="left"/>
        <w:tblInd w:w="0" w:type="dxa"/>
        <w:tblLayout w:type="fixed"/>
        <w:tblCellMar>
          <w:top w:w="28" w:type="dxa"/>
          <w:left w:w="28" w:type="dxa"/>
          <w:bottom w:w="28" w:type="dxa"/>
          <w:right w:w="28" w:type="dxa"/>
        </w:tblCellMar>
      </w:tblPr>
      <w:tblGrid>
        <w:gridCol w:w="946"/>
        <w:gridCol w:w="109"/>
        <w:gridCol w:w="7771"/>
      </w:tblGrid>
      <w:tr>
        <w:trPr/>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7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tcBorders/>
            <w:tcMar>
              <w:top w:w="0" w:type="dxa"/>
              <w:left w:w="0" w:type="dxa"/>
              <w:bottom w:w="0" w:type="dxa"/>
              <w:right w:w="0" w:type="dxa"/>
            </w:tcMar>
            <w:vAlign w:val="center"/>
          </w:tcPr>
          <w:p>
            <w:pPr>
              <w:pStyle w:val="TableContents"/>
              <w:bidi w:val="0"/>
              <w:spacing w:before="0" w:after="283"/>
              <w:jc w:val="left"/>
              <w:rPr/>
            </w:pPr>
            <w:hyperlink w:anchor="rkda-ex99_1.htm">
              <w:r>
                <w:rPr>
                  <w:rStyle w:val="InternetLink"/>
                  <w:rFonts w:ascii="Times New Roman" w:hAnsi="Times New Roman"/>
                  <w:color w:val="0000FF"/>
                  <w:sz w:val="20"/>
                  <w:u w:val="single"/>
                </w:rPr>
                <w:t>Arcadia Biosciences Announces First-Quarter 2026 Financial Results and Business Highlights</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tcBorders/>
            <w:tcMar>
              <w:top w:w="0" w:type="dxa"/>
              <w:left w:w="0" w:type="dxa"/>
              <w:bottom w:w="0" w:type="dxa"/>
              <w:right w:w="0" w:type="dxa"/>
            </w:tcMar>
            <w:vAlign w:val="center"/>
          </w:tcPr>
          <w:p>
            <w:pPr>
              <w:pStyle w:val="TableContents"/>
              <w:bidi w:val="0"/>
              <w:spacing w:before="0" w:after="283"/>
              <w:jc w:val="left"/>
              <w:rPr/>
            </w:pPr>
            <w:hyperlink w:anchor="rkda-ex99_2.htm">
              <w:r>
                <w:rPr>
                  <w:rStyle w:val="InternetLink"/>
                  <w:rFonts w:ascii="Times New Roman" w:hAnsi="Times New Roman"/>
                  <w:color w:val="0000FF"/>
                  <w:sz w:val="20"/>
                  <w:u w:val="single"/>
                </w:rPr>
                <w:t>Arcadia Biosciences First-Quarter 2026 Financial Information</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959" w:type="dxa"/>
        <w:jc w:val="left"/>
        <w:tblInd w:w="0" w:type="dxa"/>
        <w:tblLayout w:type="fixed"/>
        <w:tblCellMar>
          <w:top w:w="28" w:type="dxa"/>
          <w:left w:w="28" w:type="dxa"/>
          <w:bottom w:w="28" w:type="dxa"/>
          <w:right w:w="28" w:type="dxa"/>
        </w:tblCellMar>
      </w:tblPr>
      <w:tblGrid>
        <w:gridCol w:w="556"/>
        <w:gridCol w:w="1246"/>
        <w:gridCol w:w="451"/>
        <w:gridCol w:w="370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ARCADIA BIOSCIENCES,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THOMAS J. SCHAEFER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Thomas J. Schaefer,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rkda-ex99_1.htm"/>
      <w:bookmarkStart w:id="3" w:name="ksrkdaex99_1"/>
      <w:bookmarkEnd w:id="2"/>
      <w:bookmarkEnd w:id="3"/>
      <w:r>
        <w:rPr/>
        <w:t> </w:t>
      </w:r>
      <w:r>
        <w:br w:type="page"/>
      </w:r>
    </w:p>
    <w:p>
      <w:pPr>
        <w:pStyle w:val="TextBody"/>
        <w:bidi w:val="0"/>
        <w:jc w:val="right"/>
        <w:rPr>
          <w:rFonts w:ascii="Arial" w:hAnsi="Arial"/>
          <w:b/>
          <w:color w:val="000000"/>
          <w:sz w:val="24"/>
        </w:rPr>
      </w:pPr>
      <w:r>
        <w:rPr>
          <w:rFonts w:ascii="Arial" w:hAnsi="Arial"/>
          <w:b/>
          <w:color w:val="000000"/>
          <w:sz w:val="24"/>
        </w:rPr>
        <w:t>Exhibit 99.1</w:t>
      </w:r>
    </w:p>
    <w:p>
      <w:pPr>
        <w:pStyle w:val="TextBody"/>
        <w:bidi w:val="0"/>
        <w:jc w:val="left"/>
        <w:rPr/>
      </w:pPr>
      <w:r>
        <w:rPr/>
        <w:t> </w:t>
      </w:r>
    </w:p>
    <w:p>
      <w:pPr>
        <w:pStyle w:val="TextBody"/>
        <w:bidi w:val="0"/>
        <w:jc w:val="center"/>
        <w:rPr/>
      </w:pPr>
      <w:r>
        <w:rPr/>
        <w:drawing>
          <wp:inline distT="0" distB="0" distL="0" distR="0">
            <wp:extent cx="1219200" cy="885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885825"/>
                    </a:xfrm>
                    <a:prstGeom prst="rect">
                      <a:avLst/>
                    </a:prstGeom>
                  </pic:spPr>
                </pic:pic>
              </a:graphicData>
            </a:graphic>
          </wp:inline>
        </w:drawing>
      </w:r>
      <w:r>
        <w:rPr>
          <w:color w:val="000000"/>
        </w:rPr>
        <w:t xml:space="preserve"> </w:t>
      </w:r>
    </w:p>
    <w:p>
      <w:pPr>
        <w:pStyle w:val="TextBody"/>
        <w:bidi w:val="0"/>
        <w:jc w:val="center"/>
        <w:rPr>
          <w:rFonts w:ascii="Arial" w:hAnsi="Arial"/>
          <w:b/>
          <w:color w:val="000000"/>
          <w:sz w:val="28"/>
        </w:rPr>
      </w:pPr>
      <w:r>
        <w:rPr>
          <w:rFonts w:ascii="Arial" w:hAnsi="Arial"/>
          <w:b/>
          <w:color w:val="000000"/>
          <w:sz w:val="28"/>
        </w:rPr>
        <w:t>Arcadia Biosciences (RKDA) Announces First Quarter 2026</w:t>
      </w:r>
    </w:p>
    <w:p>
      <w:pPr>
        <w:pStyle w:val="TextBody"/>
        <w:bidi w:val="0"/>
        <w:jc w:val="center"/>
        <w:rPr>
          <w:rFonts w:ascii="Arial" w:hAnsi="Arial"/>
          <w:b/>
          <w:color w:val="000000"/>
          <w:sz w:val="28"/>
        </w:rPr>
      </w:pPr>
      <w:r>
        <w:rPr>
          <w:rFonts w:ascii="Arial" w:hAnsi="Arial"/>
          <w:b/>
          <w:color w:val="000000"/>
          <w:sz w:val="28"/>
        </w:rPr>
        <w:t>Financial Results and Business Highlights</w:t>
      </w:r>
    </w:p>
    <w:p>
      <w:pPr>
        <w:pStyle w:val="TextBody"/>
        <w:bidi w:val="0"/>
        <w:jc w:val="left"/>
        <w:rPr/>
      </w:pPr>
      <w:r>
        <w:rPr/>
        <w:t> </w:t>
      </w:r>
    </w:p>
    <w:p>
      <w:pPr>
        <w:pStyle w:val="TextBody"/>
        <w:bidi w:val="0"/>
        <w:spacing w:before="0" w:after="120"/>
        <w:jc w:val="center"/>
        <w:rPr>
          <w:rFonts w:ascii="Times New Roman" w:hAnsi="Times New Roman"/>
          <w:sz w:val="20"/>
        </w:rPr>
      </w:pPr>
      <w:r>
        <w:rPr>
          <w:rFonts w:ascii="Arial" w:hAnsi="Arial"/>
          <w:b/>
          <w:i/>
          <w:color w:val="000000"/>
          <w:sz w:val="22"/>
        </w:rPr>
        <w:t>-- Zola</w:t>
      </w:r>
      <w:r>
        <w:rPr>
          <w:rFonts w:ascii="Arial" w:hAnsi="Arial"/>
          <w:b/>
          <w:i/>
          <w:color w:val="000000"/>
          <w:sz w:val="15"/>
        </w:rPr>
        <w:t>®</w:t>
      </w:r>
      <w:r>
        <w:rPr>
          <w:rFonts w:ascii="Times New Roman" w:hAnsi="Times New Roman"/>
          <w:color w:val="000000"/>
          <w:sz w:val="20"/>
        </w:rPr>
        <w:t xml:space="preserve"> </w:t>
      </w:r>
      <w:r>
        <w:rPr>
          <w:rFonts w:ascii="Arial" w:hAnsi="Arial"/>
          <w:b/>
          <w:i/>
          <w:color w:val="000000"/>
          <w:sz w:val="22"/>
        </w:rPr>
        <w:t>volumes increase 18% year-over-year --</w:t>
      </w:r>
    </w:p>
    <w:p>
      <w:pPr>
        <w:pStyle w:val="TextBody"/>
        <w:bidi w:val="0"/>
        <w:spacing w:before="0" w:after="120"/>
        <w:jc w:val="center"/>
        <w:rPr>
          <w:rFonts w:ascii="Arial" w:hAnsi="Arial"/>
          <w:b/>
          <w:i/>
          <w:color w:val="000000"/>
          <w:sz w:val="22"/>
        </w:rPr>
      </w:pPr>
      <w:r>
        <w:rPr>
          <w:rFonts w:ascii="Arial" w:hAnsi="Arial"/>
          <w:b/>
          <w:i/>
          <w:color w:val="000000"/>
          <w:sz w:val="22"/>
        </w:rPr>
        <w:t>-- SG&amp;A at lowest level in Arcadia’s history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 xml:space="preserve">DALLAS, Texas (May 14, 2026) </w:t>
      </w:r>
      <w:r>
        <w:rPr>
          <w:rFonts w:ascii="Times New Roman" w:hAnsi="Times New Roman"/>
          <w:color w:val="000000"/>
          <w:sz w:val="20"/>
        </w:rPr>
        <w:t>–</w:t>
      </w:r>
      <w:r>
        <w:rPr>
          <w:rFonts w:ascii="Times New Roman" w:hAnsi="Times New Roman"/>
          <w:color w:val="000000"/>
          <w:sz w:val="20"/>
          <w:u w:val="single"/>
        </w:rPr>
        <w:t xml:space="preserve"> </w:t>
      </w:r>
      <w:r>
        <w:rPr>
          <w:rFonts w:ascii="Arial" w:hAnsi="Arial"/>
          <w:color w:val="1155CC"/>
          <w:sz w:val="22"/>
          <w:u w:val="single"/>
        </w:rPr>
        <w:t>Arcadia Biosciences, Inc</w:t>
      </w:r>
      <w:r>
        <w:rPr>
          <w:rFonts w:ascii="Arial" w:hAnsi="Arial"/>
          <w:color w:val="000000"/>
          <w:sz w:val="22"/>
        </w:rPr>
        <w:t>.</w:t>
      </w:r>
      <w:r>
        <w:rPr>
          <w:rFonts w:ascii="Arial" w:hAnsi="Arial"/>
          <w:color w:val="1155CC"/>
          <w:sz w:val="15"/>
        </w:rPr>
        <w:t>®</w:t>
      </w:r>
      <w:r>
        <w:rPr>
          <w:rFonts w:ascii="Times New Roman" w:hAnsi="Times New Roman"/>
          <w:color w:val="000000"/>
          <w:sz w:val="20"/>
        </w:rPr>
        <w:t xml:space="preserve"> </w:t>
      </w:r>
      <w:r>
        <w:rPr>
          <w:rFonts w:ascii="Arial" w:hAnsi="Arial"/>
          <w:color w:val="000000"/>
          <w:sz w:val="22"/>
        </w:rPr>
        <w:t>(Nasdaq: RKDA), a producer and marketer of innovative wellness products, today released its financial and business results for the first quarter of 2026.</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Arial" w:hAnsi="Arial"/>
          <w:color w:val="000000"/>
          <w:sz w:val="22"/>
        </w:rPr>
        <w:t>We are very pleased with our performance during the first quarter of 2026,” said T.J. Schaefer, CEO of Arcadia. “We were able to bring in gross proceeds of approximately $2.1 million from the exercise of previously outstanding preferred investment options, Zola</w:t>
      </w:r>
      <w:r>
        <w:rPr>
          <w:rFonts w:ascii="Arial" w:hAnsi="Arial"/>
          <w:color w:val="000000"/>
          <w:sz w:val="15"/>
        </w:rPr>
        <w:t xml:space="preserve">® </w:t>
      </w:r>
      <w:r>
        <w:rPr>
          <w:rFonts w:ascii="Arial" w:hAnsi="Arial"/>
          <w:color w:val="000000"/>
          <w:sz w:val="22"/>
        </w:rPr>
        <w:t>coconut water revenues and volumes increased at a double-digit rate compared to the same quarter last year, and our selling, general, and administrative expenses are at the lowest level in Arcadia’s history as a public company.</w:t>
      </w:r>
    </w:p>
    <w:p>
      <w:pPr>
        <w:pStyle w:val="TextBody"/>
        <w:bidi w:val="0"/>
        <w:jc w:val="left"/>
        <w:rPr/>
      </w:pPr>
      <w:r>
        <w:rPr/>
        <w:t> </w:t>
      </w:r>
    </w:p>
    <w:p>
      <w:pPr>
        <w:pStyle w:val="TextBody"/>
        <w:bidi w:val="0"/>
        <w:jc w:val="left"/>
        <w:rPr/>
      </w:pPr>
      <w:r>
        <w:rPr>
          <w:color w:val="000000"/>
        </w:rPr>
        <w:t>“</w:t>
      </w:r>
      <w:r>
        <w:rPr>
          <w:rFonts w:ascii="Arial" w:hAnsi="Arial"/>
          <w:color w:val="000000"/>
          <w:sz w:val="22"/>
        </w:rPr>
        <w:t>Going forward, we continue to evaluate strategic alternatives but also remain focused on growing our Zola</w:t>
      </w:r>
      <w:r>
        <w:rPr>
          <w:rFonts w:ascii="Times New Roman" w:hAnsi="Times New Roman"/>
          <w:color w:val="000000"/>
          <w:sz w:val="20"/>
        </w:rPr>
        <w:t xml:space="preserve"> </w:t>
      </w:r>
      <w:r>
        <w:rPr>
          <w:rFonts w:ascii="Arial" w:hAnsi="Arial"/>
          <w:color w:val="000000"/>
          <w:sz w:val="22"/>
        </w:rPr>
        <w:t>coconut water brand and are excited about the prospects of launching a new product that we expect to be on the shelves of many of our largest customers this fall,” Schaefer added.</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2"/>
        </w:rPr>
        <w:t>Arcadia Biosciences, Inc.</w:t>
      </w:r>
      <w:r>
        <w:rPr>
          <w:rFonts w:ascii="Times New Roman" w:hAnsi="Times New Roman"/>
          <w:color w:val="000000"/>
          <w:sz w:val="20"/>
        </w:rPr>
        <w:t xml:space="preserve"> </w:t>
      </w:r>
    </w:p>
    <w:p>
      <w:pPr>
        <w:pStyle w:val="TextBody"/>
        <w:bidi w:val="0"/>
        <w:jc w:val="center"/>
        <w:rPr>
          <w:rFonts w:ascii="Arial" w:hAnsi="Arial"/>
          <w:b/>
          <w:color w:val="000000"/>
          <w:sz w:val="22"/>
        </w:rPr>
      </w:pPr>
      <w:r>
        <w:rPr>
          <w:rFonts w:ascii="Arial" w:hAnsi="Arial"/>
          <w:b/>
          <w:color w:val="000000"/>
          <w:sz w:val="22"/>
        </w:rPr>
        <w:t>Financial Snapshot</w:t>
      </w:r>
    </w:p>
    <w:p>
      <w:pPr>
        <w:pStyle w:val="TextBody"/>
        <w:bidi w:val="0"/>
        <w:jc w:val="center"/>
        <w:rPr>
          <w:rFonts w:ascii="Times New Roman" w:hAnsi="Times New Roman"/>
          <w:sz w:val="20"/>
        </w:rPr>
      </w:pPr>
      <w:r>
        <w:rPr>
          <w:rFonts w:ascii="Arial" w:hAnsi="Arial"/>
          <w:b/>
          <w:color w:val="000000"/>
          <w:sz w:val="22"/>
        </w:rPr>
        <w:t>(Unaudited)</w:t>
      </w:r>
      <w:r>
        <w:rPr>
          <w:rFonts w:ascii="Times New Roman" w:hAnsi="Times New Roman"/>
          <w:color w:val="000000"/>
          <w:sz w:val="20"/>
        </w:rPr>
        <w:t xml:space="preserve"> </w:t>
      </w:r>
    </w:p>
    <w:p>
      <w:pPr>
        <w:pStyle w:val="TextBody"/>
        <w:bidi w:val="0"/>
        <w:spacing w:before="80" w:after="283"/>
        <w:jc w:val="center"/>
        <w:rPr>
          <w:rFonts w:ascii="Arial" w:hAnsi="Arial"/>
          <w:i/>
          <w:color w:val="000000"/>
          <w:sz w:val="22"/>
        </w:rPr>
      </w:pPr>
      <w:r>
        <w:rPr>
          <w:rFonts w:ascii="Arial" w:hAnsi="Arial"/>
          <w:i/>
          <w:color w:val="000000"/>
          <w:sz w:val="22"/>
        </w:rPr>
        <w:t>($ in thousands)</w:t>
      </w:r>
    </w:p>
    <w:p>
      <w:pPr>
        <w:pStyle w:val="TextBody"/>
        <w:bidi w:val="0"/>
        <w:jc w:val="left"/>
        <w:rPr/>
      </w:pPr>
      <w:r>
        <w:rPr/>
        <w:t> </w:t>
      </w:r>
    </w:p>
    <w:tbl>
      <w:tblPr>
        <w:tblW w:w="9855" w:type="dxa"/>
        <w:jc w:val="left"/>
        <w:tblInd w:w="0" w:type="dxa"/>
        <w:tblLayout w:type="fixed"/>
        <w:tblCellMar>
          <w:top w:w="28" w:type="dxa"/>
          <w:left w:w="28" w:type="dxa"/>
          <w:bottom w:w="28" w:type="dxa"/>
          <w:right w:w="28" w:type="dxa"/>
        </w:tblCellMar>
      </w:tblPr>
      <w:tblGrid>
        <w:gridCol w:w="5236"/>
        <w:gridCol w:w="973"/>
        <w:gridCol w:w="301"/>
        <w:gridCol w:w="351"/>
        <w:gridCol w:w="235"/>
        <w:gridCol w:w="291"/>
        <w:gridCol w:w="1412"/>
        <w:gridCol w:w="291"/>
        <w:gridCol w:w="372"/>
        <w:gridCol w:w="393"/>
      </w:tblGrid>
      <w:tr>
        <w:trPr/>
        <w:tc>
          <w:tcPr>
            <w:tcW w:w="523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6" w:type="dxa"/>
            <w:gridSpan w:val="8"/>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March 31,</w:t>
            </w:r>
          </w:p>
        </w:tc>
        <w:tc>
          <w:tcPr>
            <w:tcW w:w="393"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2601" w:type="dxa"/>
            <w:gridSpan w:val="5"/>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Favorable / (Unfavorable)</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revenues</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operating expenses</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(Loss) income from continuing operations</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w:t>
            </w:r>
          </w:p>
        </w:tc>
      </w:tr>
      <w:tr>
        <w:trPr/>
        <w:tc>
          <w:tcPr>
            <w:tcW w:w="52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(loss) income attributable to common stockholders</w:t>
            </w:r>
          </w:p>
        </w:tc>
        <w:tc>
          <w:tcPr>
            <w:tcW w:w="9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(4,385)</w:t>
            </w:r>
          </w:p>
        </w:tc>
        <w:tc>
          <w:tcPr>
            <w:tcW w:w="301" w:type="dxa"/>
            <w:tcBorders/>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2,599</w:t>
            </w:r>
          </w:p>
        </w:tc>
        <w:tc>
          <w:tcPr>
            <w:tcW w:w="2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(6,984)</w:t>
            </w:r>
          </w:p>
        </w:tc>
        <w:tc>
          <w:tcPr>
            <w:tcW w:w="291" w:type="dxa"/>
            <w:tcBorders/>
            <w:tcMar>
              <w:top w:w="0" w:type="dxa"/>
              <w:left w:w="0" w:type="dxa"/>
              <w:bottom w:w="0" w:type="dxa"/>
              <w:right w:w="0" w:type="dxa"/>
            </w:tcMar>
            <w:vAlign w:val="center"/>
          </w:tcPr>
          <w:p>
            <w:pPr>
              <w:pStyle w:val="TableContents"/>
              <w:bidi w:val="0"/>
              <w:spacing w:before="0" w:after="283"/>
              <w:jc w:val="right"/>
              <w:rPr/>
            </w:pPr>
            <w:r>
              <w:rPr/>
              <w:t> </w:t>
            </w:r>
          </w:p>
        </w:tc>
        <w:tc>
          <w:tcPr>
            <w:tcW w:w="765"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w:t>
            </w:r>
          </w:p>
        </w:tc>
      </w:tr>
    </w:tbl>
    <w:p>
      <w:pPr>
        <w:pStyle w:val="TextBody"/>
        <w:bidi w:val="0"/>
        <w:jc w:val="left"/>
        <w:rPr/>
      </w:pPr>
      <w:r>
        <w:rPr/>
        <w:t> </w:t>
      </w:r>
    </w:p>
    <w:p>
      <w:pPr>
        <w:pStyle w:val="TextBody"/>
        <w:bidi w:val="0"/>
        <w:jc w:val="center"/>
        <w:rPr>
          <w:rFonts w:ascii="sans-serif" w:hAnsi="sans-serif"/>
          <w:color w:val="000000"/>
          <w:sz w:val="24"/>
        </w:rPr>
      </w:pPr>
      <w:r>
        <w:rPr>
          <w:rFonts w:ascii="sans-serif" w:hAnsi="sans-serif"/>
          <w:color w:val="000000"/>
          <w:sz w:val="24"/>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More detailed financial information is included in the company’s Report on Form 8-K and Quarterly Report on Form 10-Q filed with the Securities and Exchange Commission (SEC), available in the Investors section of the company’s website under </w:t>
      </w:r>
      <w:r>
        <w:rPr>
          <w:rFonts w:ascii="Arial" w:hAnsi="Arial"/>
          <w:color w:val="1155CC"/>
          <w:sz w:val="22"/>
          <w:u w:val="single"/>
        </w:rPr>
        <w:t>SEC Filings</w:t>
      </w:r>
      <w:r>
        <w:rPr>
          <w:rFonts w:ascii="Arial" w:hAnsi="Arial"/>
          <w:color w:val="000000"/>
          <w:sz w:val="22"/>
        </w:rPr>
        <w: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Revenues</w:t>
      </w:r>
    </w:p>
    <w:p>
      <w:pPr>
        <w:pStyle w:val="TextBody"/>
        <w:bidi w:val="0"/>
        <w:jc w:val="left"/>
        <w:rPr>
          <w:rFonts w:ascii="Arial" w:hAnsi="Arial"/>
          <w:color w:val="000000"/>
          <w:sz w:val="22"/>
        </w:rPr>
      </w:pPr>
      <w:r>
        <w:rPr>
          <w:rFonts w:ascii="Arial" w:hAnsi="Arial"/>
          <w:color w:val="000000"/>
          <w:sz w:val="22"/>
        </w:rPr>
        <w:t>Sales of Zola coconut water unit volumes increased 18% and also benefitted from a price increase that went into effect at the beginning of the year. However, reported revenues decreased $100,000, or 8%, during the first quarter of 2026 compared to the same period in 2025, driven primarily by a revenue reserve release of approximately $193,000 in 2025.</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Operating Expenses</w:t>
      </w:r>
    </w:p>
    <w:p>
      <w:pPr>
        <w:pStyle w:val="TextBody"/>
        <w:bidi w:val="0"/>
        <w:jc w:val="left"/>
        <w:rPr>
          <w:rFonts w:ascii="Arial" w:hAnsi="Arial"/>
          <w:color w:val="000000"/>
          <w:sz w:val="22"/>
        </w:rPr>
      </w:pPr>
      <w:r>
        <w:rPr>
          <w:rFonts w:ascii="Arial" w:hAnsi="Arial"/>
          <w:color w:val="000000"/>
          <w:sz w:val="22"/>
        </w:rPr>
        <w:t>Total operating expenses increased by $1.2 million during the first quarter of 2026 compared to the same period in 2025 due to the $750,000 gain on sale of the company’s reduced gluten and oxidative stability patent portfolios and $1.0 million gain related to the change in fair value of contingent consideration liability in the first quarter of 2025.</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Cost of revenues increased $18,000, or 3%, during the first quarter of 2026 compared to the same period in 2025 driven primarily by the increase in Zola sales volume, which increased product costs and freight expenses.</w:t>
      </w:r>
    </w:p>
    <w:p>
      <w:pPr>
        <w:pStyle w:val="TextBody"/>
        <w:bidi w:val="0"/>
        <w:jc w:val="left"/>
        <w:rPr>
          <w:rFonts w:cs="Tahoma;sans-serif"/>
          <w:color w:val="000000"/>
          <w:szCs w:val="22"/>
        </w:rPr>
      </w:pPr>
      <w:r>
        <w:rPr>
          <w:rFonts w:cs="Tahoma;sans-serif"/>
          <w:color w:val="000000"/>
          <w:szCs w:val="22"/>
        </w:rPr>
        <w:t>﻿</w:t>
      </w:r>
    </w:p>
    <w:p>
      <w:pPr>
        <w:pStyle w:val="TextBody"/>
        <w:bidi w:val="0"/>
        <w:jc w:val="left"/>
        <w:rPr>
          <w:rFonts w:ascii="Arial" w:hAnsi="Arial"/>
          <w:color w:val="000000"/>
          <w:sz w:val="22"/>
        </w:rPr>
      </w:pPr>
      <w:r>
        <w:rPr>
          <w:rFonts w:ascii="Arial" w:hAnsi="Arial"/>
          <w:color w:val="000000"/>
          <w:sz w:val="22"/>
        </w:rPr>
        <w:t>Selling, general, and administrative expenses decreased by $559,000 during the first quarter of 2026 compared to the same period in 2025, driven primarily by the absence of M&amp;A fees and lower employee costs in the first quarter of 2026.</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Net Loss (Income) Attributable to Common Stockholders</w:t>
      </w:r>
    </w:p>
    <w:p>
      <w:pPr>
        <w:pStyle w:val="TextBody"/>
        <w:bidi w:val="0"/>
        <w:jc w:val="left"/>
        <w:rPr>
          <w:rFonts w:ascii="Arial" w:hAnsi="Arial"/>
          <w:color w:val="000000"/>
          <w:sz w:val="22"/>
        </w:rPr>
      </w:pPr>
      <w:r>
        <w:rPr>
          <w:rFonts w:ascii="Arial" w:hAnsi="Arial"/>
          <w:color w:val="000000"/>
          <w:sz w:val="22"/>
        </w:rPr>
        <w:t>Net loss attributable to common stockholders for the first quarter of 2026 was $4.4 million, or $2.11 per share, a $7.0 million decrease from the $2.6 million net income, or $1.90 per share, for the first quarter of 2025. The decrease was primarily driven by the loss relating to the company’s January 2026 warrant inducement offer transaction of $2.9 million and other loss of $1.5 million, in addition to the $750,000 gain on sale of the company’s reduced gluten and oxidative stability patent portfolios and $1.0 million gain related to the change in fair value of contingent consideration liability in the first quarter of 2025.</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Arcadia Biosciences, Inc.</w:t>
      </w:r>
    </w:p>
    <w:p>
      <w:pPr>
        <w:pStyle w:val="TextBody"/>
        <w:bidi w:val="0"/>
        <w:jc w:val="left"/>
        <w:rPr>
          <w:rFonts w:ascii="Times New Roman" w:hAnsi="Times New Roman"/>
          <w:sz w:val="20"/>
        </w:rPr>
      </w:pPr>
      <w:r>
        <w:rPr>
          <w:rFonts w:ascii="Arial" w:hAnsi="Arial"/>
          <w:color w:val="000000"/>
          <w:sz w:val="22"/>
        </w:rPr>
        <w:t xml:space="preserve">Since 2002, Arcadia Biosciences (Nasdaq: RKDA) has been innovating high-value, healthy ingredients to meet consumer demands for healthier choices. With its roots in agricultural innovation, Arcadia cultivates next-generation wellness products. For more information, visit </w:t>
      </w:r>
      <w:r>
        <w:rPr>
          <w:rFonts w:ascii="Arial" w:hAnsi="Arial"/>
          <w:color w:val="0000FF"/>
          <w:sz w:val="22"/>
          <w:u w:val="single"/>
        </w:rPr>
        <w:t>www.arcadiabio.com</w:t>
      </w:r>
      <w:r>
        <w:rPr>
          <w:rFonts w:ascii="Arial" w:hAnsi="Arial"/>
          <w:color w:val="000000"/>
          <w:sz w:val="22"/>
        </w:rPr>
        <w:t>.</w:t>
      </w:r>
    </w:p>
    <w:p>
      <w:pPr>
        <w:pStyle w:val="TextBody"/>
        <w:bidi w:val="0"/>
        <w:jc w:val="left"/>
        <w:rPr>
          <w:rFonts w:ascii="Times New Roman" w:hAnsi="Times New Roman"/>
          <w:sz w:val="20"/>
        </w:rPr>
      </w:pPr>
      <w:r>
        <w:rPr>
          <w:rFonts w:ascii="Arial" w:hAnsi="Arial"/>
          <w:b/>
          <w:color w:val="000000"/>
          <w:sz w:val="22"/>
        </w:rPr>
        <w:t>Safe Harbor Statement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This press release contains forward-looking statements within the meaning of the Private Securities Litigation Reform Act of 1995. These statements relate to future events or future results of operations concerning the company and its products, including, but not limited to, statements relating to Zola products and sales, the company’s growth, cash position, operating costs, financial performance, evaluation of possible strategic alternatives and</w:t>
      </w:r>
      <w:r>
        <w:rPr>
          <w:rFonts w:ascii="Times New Roman" w:hAnsi="Times New Roman"/>
          <w:color w:val="000000"/>
          <w:sz w:val="20"/>
        </w:rPr>
        <w:t xml:space="preserve"> </w:t>
      </w:r>
    </w:p>
    <w:p>
      <w:pPr>
        <w:pStyle w:val="TextBody"/>
        <w:bidi w:val="0"/>
        <w:jc w:val="center"/>
        <w:rPr>
          <w:rFonts w:ascii="sans-serif" w:hAnsi="sans-serif"/>
          <w:color w:val="000000"/>
          <w:sz w:val="24"/>
        </w:rPr>
      </w:pPr>
      <w:r>
        <w:rPr>
          <w:rFonts w:ascii="sans-serif" w:hAnsi="sans-serif"/>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transactions, and the impact on shareholder value. Undue reliance should not be placed on any forward-looking statements. Forward-looking statements are only predictions and are subject to known and unknown risks and uncertainties that could cause actual results to differ materially from the results anticipated by such forward-looking statements. These risks and uncertainties include, but are not limited to, the risks set forth in filings that the company makes with the Securities and Exchange Commission from time to time, including in Arcadia’s Annual Report on Form 10-K for the year ended December 31, 2025 (the 2025 Form 10-K), and other filings that the company makes with the SEC. Forward-looking statements concerning anticipated future activities also assume that the company has sufficient funding to continue its operations and planned activities, which may not be the case. As described in greater detail in the 2025 Form 10-K and in the company’s Quarterly Report on Form 10-Q for the period ended March 31, 2026, the company will require additional funding in the near future to continue its operations and planned activities. There are no assurances that required funding will be available at all or will be available in sufficient amounts or on reasonable terms. The company may seek to raise additional funds through equity or debt financings, through transactions involving its other assets, or through other transactions. Any sale of additional equity securities could result in dilution to company stockholders. Reported results should not be considered as an indication of future performance. Forward-looking statements made in this press release speak only as of the date hereof, and except as required by law, Arcadia Biosciences, Inc. disclaims any obligation to update these forward-looking statements or to reflect events or circumstances arising after the date of this press release.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Arcadia Biosciences Contact:</w:t>
      </w:r>
    </w:p>
    <w:p>
      <w:pPr>
        <w:pStyle w:val="TextBody"/>
        <w:bidi w:val="0"/>
        <w:jc w:val="left"/>
        <w:rPr>
          <w:rFonts w:ascii="Arial" w:hAnsi="Arial"/>
          <w:color w:val="000000"/>
          <w:sz w:val="22"/>
        </w:rPr>
      </w:pPr>
      <w:r>
        <w:rPr>
          <w:rFonts w:ascii="Arial" w:hAnsi="Arial"/>
          <w:color w:val="000000"/>
          <w:sz w:val="22"/>
        </w:rPr>
        <w:t>T.J. Schaefer</w:t>
      </w:r>
    </w:p>
    <w:p>
      <w:pPr>
        <w:pStyle w:val="TextBody"/>
        <w:bidi w:val="0"/>
        <w:jc w:val="left"/>
        <w:rPr>
          <w:rFonts w:ascii="Arial" w:hAnsi="Arial"/>
          <w:color w:val="1155CC"/>
          <w:sz w:val="22"/>
          <w:u w:val="single"/>
        </w:rPr>
      </w:pPr>
      <w:r>
        <w:rPr>
          <w:rFonts w:ascii="Arial" w:hAnsi="Arial"/>
          <w:color w:val="1155CC"/>
          <w:sz w:val="22"/>
          <w:u w:val="single"/>
        </w:rPr>
        <w:t>ir@arcadiabio.com</w:t>
      </w:r>
    </w:p>
    <w:p>
      <w:pPr>
        <w:pStyle w:val="TextBody"/>
        <w:bidi w:val="0"/>
        <w:jc w:val="left"/>
        <w:rPr/>
      </w:pPr>
      <w:r>
        <w:rPr/>
        <w:t> </w:t>
      </w:r>
    </w:p>
    <w:p>
      <w:pPr>
        <w:pStyle w:val="TextBody"/>
        <w:bidi w:val="0"/>
        <w:jc w:val="center"/>
        <w:rPr>
          <w:rFonts w:ascii="Arial" w:hAnsi="Arial"/>
          <w:color w:val="0000FF"/>
          <w:sz w:val="22"/>
          <w:u w:val="single"/>
        </w:rPr>
      </w:pPr>
      <w:r>
        <w:rPr>
          <w:rFonts w:ascii="Arial" w:hAnsi="Arial"/>
          <w:color w:val="0000FF"/>
          <w:sz w:val="22"/>
          <w:u w:val="single"/>
        </w:rPr>
        <w:t>###</w:t>
      </w:r>
    </w:p>
    <w:p>
      <w:pPr>
        <w:pStyle w:val="TextBody"/>
        <w:bidi w:val="0"/>
        <w:jc w:val="left"/>
        <w:rPr/>
      </w:pPr>
      <w:r>
        <w:rPr/>
        <w:t> </w:t>
      </w:r>
    </w:p>
    <w:p>
      <w:pPr>
        <w:pStyle w:val="TextBody"/>
        <w:bidi w:val="0"/>
        <w:jc w:val="center"/>
        <w:rPr>
          <w:rFonts w:ascii="sans-serif" w:hAnsi="sans-serif"/>
          <w:color w:val="000000"/>
          <w:sz w:val="24"/>
        </w:rPr>
      </w:pPr>
      <w:r>
        <w:rPr>
          <w:rFonts w:ascii="sans-serif" w:hAnsi="sans-serif"/>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bookmarkStart w:id="4" w:name="rkda-ex99_2.htm"/>
      <w:bookmarkStart w:id="5" w:name="ksrkdaex99_2"/>
      <w:bookmarkEnd w:id="4"/>
      <w:bookmarkEnd w:id="5"/>
      <w:r>
        <w:rPr/>
        <w:t> </w:t>
      </w:r>
      <w:r>
        <w:br w:type="page"/>
      </w:r>
    </w:p>
    <w:p>
      <w:pPr>
        <w:pStyle w:val="TextBody"/>
        <w:bidi w:val="0"/>
        <w:jc w:val="right"/>
        <w:rPr>
          <w:rFonts w:ascii="Arial" w:hAnsi="Arial"/>
          <w:b/>
          <w:color w:val="000000"/>
          <w:sz w:val="24"/>
        </w:rPr>
      </w:pPr>
      <w:r>
        <w:rPr>
          <w:rFonts w:ascii="Arial" w:hAnsi="Arial"/>
          <w:b/>
          <w:color w:val="000000"/>
          <w:sz w:val="24"/>
        </w:rPr>
        <w:t>Exhibit 99.2</w:t>
      </w:r>
    </w:p>
    <w:p>
      <w:pPr>
        <w:pStyle w:val="TextBody"/>
        <w:bidi w:val="0"/>
        <w:jc w:val="center"/>
        <w:rPr/>
      </w:pPr>
      <w:r>
        <w:rPr/>
        <w:drawing>
          <wp:inline distT="0" distB="0" distL="0" distR="0">
            <wp:extent cx="1143000" cy="82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 cy="828675"/>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b/>
          <w:color w:val="000000"/>
          <w:sz w:val="22"/>
        </w:rPr>
      </w:pPr>
      <w:r>
        <w:rPr>
          <w:rFonts w:ascii="Arial" w:hAnsi="Arial"/>
          <w:b/>
          <w:color w:val="000000"/>
          <w:sz w:val="22"/>
        </w:rPr>
        <w:t>Arcadia Biosciences, Inc.</w:t>
      </w:r>
    </w:p>
    <w:p>
      <w:pPr>
        <w:pStyle w:val="TextBody"/>
        <w:bidi w:val="0"/>
        <w:jc w:val="center"/>
        <w:rPr>
          <w:rFonts w:ascii="Arial" w:hAnsi="Arial"/>
          <w:b/>
          <w:color w:val="000000"/>
          <w:sz w:val="22"/>
        </w:rPr>
      </w:pPr>
      <w:r>
        <w:rPr>
          <w:rFonts w:ascii="Arial" w:hAnsi="Arial"/>
          <w:b/>
          <w:color w:val="000000"/>
          <w:sz w:val="22"/>
        </w:rPr>
        <w:t>Consolidated Balance Sheets</w:t>
      </w:r>
    </w:p>
    <w:p>
      <w:pPr>
        <w:pStyle w:val="TextBody"/>
        <w:bidi w:val="0"/>
        <w:jc w:val="center"/>
        <w:rPr>
          <w:rFonts w:ascii="Arial" w:hAnsi="Arial"/>
          <w:b/>
          <w:color w:val="000000"/>
          <w:sz w:val="22"/>
        </w:rPr>
      </w:pPr>
      <w:r>
        <w:rPr>
          <w:rFonts w:ascii="Arial" w:hAnsi="Arial"/>
          <w:b/>
          <w:color w:val="000000"/>
          <w:sz w:val="22"/>
        </w:rPr>
        <w:t>(Unaudited)</w:t>
      </w:r>
    </w:p>
    <w:p>
      <w:pPr>
        <w:pStyle w:val="TextBody"/>
        <w:bidi w:val="0"/>
        <w:spacing w:before="80" w:after="283"/>
        <w:jc w:val="center"/>
        <w:rPr>
          <w:rFonts w:ascii="Arial" w:hAnsi="Arial"/>
          <w:i/>
          <w:color w:val="000000"/>
          <w:sz w:val="22"/>
        </w:rPr>
      </w:pPr>
      <w:r>
        <w:rPr>
          <w:rFonts w:ascii="Arial" w:hAnsi="Arial"/>
          <w:i/>
          <w:color w:val="000000"/>
          <w:sz w:val="22"/>
        </w:rPr>
        <w:t>(In thousands, except share data)</w:t>
      </w:r>
    </w:p>
    <w:p>
      <w:pPr>
        <w:pStyle w:val="TextBody"/>
        <w:bidi w:val="0"/>
        <w:spacing w:before="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6177"/>
        <w:gridCol w:w="146"/>
        <w:gridCol w:w="269"/>
        <w:gridCol w:w="1073"/>
        <w:gridCol w:w="166"/>
        <w:gridCol w:w="146"/>
        <w:gridCol w:w="328"/>
        <w:gridCol w:w="1307"/>
        <w:gridCol w:w="593"/>
      </w:tblGrid>
      <w:tr>
        <w:trPr/>
        <w:tc>
          <w:tcPr>
            <w:tcW w:w="61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receivable and other receivables, net of allowance for credit loss</w:t>
              <w:br/>
              <w:t>   of $559 as of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6,546</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warrant and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xml:space="preserve">Common stock, $0.001 par value—150,000,000 shares authorized as </w:t>
              <w:br/>
              <w:t>   of March 31, 2026 and December 31, 2025; 2,056,884 and 1,373,120 shares issued</w:t>
              <w:br/>
              <w:t>   and outstanding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285,292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(281,217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1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4,140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6,546</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sans-serif" w:hAnsi="sans-serif"/>
          <w:color w:val="000000"/>
          <w:sz w:val="24"/>
        </w:rPr>
      </w:pPr>
      <w:r>
        <w:rPr>
          <w:rFonts w:ascii="sans-serif" w:hAnsi="sans-serif"/>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2"/>
        </w:rPr>
        <w:t>Arcadia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2"/>
        </w:rPr>
        <w:t>Consolidated Statements of Operations and Comprehensive Income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2"/>
        </w:rPr>
        <w:t>(Unaudited)</w:t>
      </w:r>
      <w:r>
        <w:rPr>
          <w:rFonts w:ascii="Times New Roman" w:hAnsi="Times New Roman"/>
          <w:color w:val="000000"/>
          <w:sz w:val="20"/>
        </w:rPr>
        <w:t xml:space="preserve"> </w:t>
      </w:r>
    </w:p>
    <w:p>
      <w:pPr>
        <w:pStyle w:val="TextBody"/>
        <w:bidi w:val="0"/>
        <w:spacing w:before="80" w:after="283"/>
        <w:jc w:val="center"/>
        <w:rPr>
          <w:rFonts w:ascii="Arial" w:hAnsi="Arial"/>
          <w:i/>
          <w:color w:val="000000"/>
          <w:sz w:val="22"/>
        </w:rPr>
      </w:pPr>
      <w:r>
        <w:rPr>
          <w:rFonts w:ascii="Arial" w:hAnsi="Arial"/>
          <w:i/>
          <w:color w:val="000000"/>
          <w:sz w:val="22"/>
        </w:rPr>
        <w:t>(In thousands, except share data and per share data)</w:t>
      </w:r>
    </w:p>
    <w:p>
      <w:pPr>
        <w:pStyle w:val="TextBody"/>
        <w:bidi w:val="0"/>
        <w:jc w:val="center"/>
        <w:rPr/>
      </w:pPr>
      <w:r>
        <w:rPr/>
        <w:t> </w:t>
      </w:r>
    </w:p>
    <w:tbl>
      <w:tblPr>
        <w:tblW w:w="9031" w:type="dxa"/>
        <w:jc w:val="left"/>
        <w:tblInd w:w="0" w:type="dxa"/>
        <w:tblLayout w:type="fixed"/>
        <w:tblCellMar>
          <w:top w:w="28" w:type="dxa"/>
          <w:left w:w="28" w:type="dxa"/>
          <w:bottom w:w="28" w:type="dxa"/>
          <w:right w:w="28" w:type="dxa"/>
        </w:tblCellMar>
      </w:tblPr>
      <w:tblGrid>
        <w:gridCol w:w="5551"/>
        <w:gridCol w:w="146"/>
        <w:gridCol w:w="223"/>
        <w:gridCol w:w="984"/>
        <w:gridCol w:w="175"/>
        <w:gridCol w:w="154"/>
        <w:gridCol w:w="223"/>
        <w:gridCol w:w="984"/>
        <w:gridCol w:w="591"/>
      </w:tblGrid>
      <w:tr>
        <w:trPr/>
        <w:tc>
          <w:tcPr>
            <w:tcW w:w="5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1,100</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Gain on sale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1,179</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1,879</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on January 2026 Inducement Offer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 in fair value of common stock warrant and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and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(4,385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(4,385</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xml:space="preserve">Weighted-average number of shares used in per share </w:t>
              <w:br/>
              <w:t>   calculations: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2,082,887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1,366,060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2,082,887</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1,366,203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gains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Comprehensive income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(4,385</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4"/>
        </w:rPr>
      </w:pPr>
      <w:r>
        <w:rPr>
          <w:rFonts w:ascii="sans-serif" w:hAnsi="sans-serif"/>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Arcadia Biosciences, Inc.</w:t>
      </w:r>
    </w:p>
    <w:p>
      <w:pPr>
        <w:pStyle w:val="TextBody"/>
        <w:bidi w:val="0"/>
        <w:jc w:val="center"/>
        <w:rPr>
          <w:rFonts w:ascii="Times New Roman" w:hAnsi="Times New Roman"/>
          <w:sz w:val="20"/>
        </w:rPr>
      </w:pPr>
      <w:r>
        <w:rPr>
          <w:rFonts w:ascii="Arial" w:hAnsi="Arial"/>
          <w:b/>
          <w:color w:val="000000"/>
          <w:sz w:val="22"/>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2"/>
        </w:rPr>
        <w:t>(Unaudited)</w:t>
      </w:r>
      <w:r>
        <w:rPr>
          <w:rFonts w:ascii="Times New Roman" w:hAnsi="Times New Roman"/>
          <w:color w:val="000000"/>
          <w:sz w:val="20"/>
        </w:rPr>
        <w:t xml:space="preserve"> </w:t>
      </w:r>
    </w:p>
    <w:p>
      <w:pPr>
        <w:pStyle w:val="TextBody"/>
        <w:bidi w:val="0"/>
        <w:spacing w:before="80" w:after="283"/>
        <w:jc w:val="center"/>
        <w:rPr>
          <w:rFonts w:ascii="Arial" w:hAnsi="Arial"/>
          <w:i/>
          <w:color w:val="000000"/>
          <w:sz w:val="22"/>
        </w:rPr>
      </w:pPr>
      <w:r>
        <w:rPr>
          <w:rFonts w:ascii="Arial" w:hAnsi="Arial"/>
          <w:i/>
          <w:color w:val="000000"/>
          <w:sz w:val="22"/>
        </w:rPr>
        <w:t>(In thousands)</w:t>
      </w:r>
    </w:p>
    <w:tbl>
      <w:tblPr>
        <w:tblW w:w="10205" w:type="dxa"/>
        <w:jc w:val="left"/>
        <w:tblInd w:w="0" w:type="dxa"/>
        <w:tblLayout w:type="fixed"/>
        <w:tblCellMar>
          <w:top w:w="28" w:type="dxa"/>
          <w:left w:w="28" w:type="dxa"/>
          <w:bottom w:w="28" w:type="dxa"/>
          <w:right w:w="28" w:type="dxa"/>
        </w:tblCellMar>
      </w:tblPr>
      <w:tblGrid>
        <w:gridCol w:w="7106"/>
        <w:gridCol w:w="146"/>
        <w:gridCol w:w="248"/>
        <w:gridCol w:w="724"/>
        <w:gridCol w:w="210"/>
        <w:gridCol w:w="184"/>
        <w:gridCol w:w="248"/>
        <w:gridCol w:w="724"/>
        <w:gridCol w:w="615"/>
      </w:tblGrid>
      <w:tr>
        <w:trPr/>
        <w:tc>
          <w:tcPr>
            <w:tcW w:w="7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(4,385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2,599</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Adjustments to reconcile net income to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Change in fair value of common stock warrant and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7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Issuance and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Loss on January 2026 Inducement Offer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2,877</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Lease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Amortization of 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7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Gain on sale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Unrealized loss subsequent to receipt of Above Food Ingredients, Inc.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Accounts receivable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7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7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7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(1,099</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(1,588</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sale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January 2026 Inducement Offer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of offering costs relating to January 2026 Inducement Offer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(288</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ESPP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1,794</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(1,083</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7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259</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4,242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3,159</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sale of intangible assets in accounts receivable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Accrued legal fees included in offering costs related to January 2026 Inducement Offer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Preferred investment options issued to placement agent and included in offering costs related to January 2026 Inducement Offer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Warrant and option modifications included in Loss on January 2026 Inducement Offer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555</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 # #</w:t>
      </w:r>
    </w:p>
    <w:p>
      <w:pPr>
        <w:pStyle w:val="TextBody"/>
        <w:bidi w:val="0"/>
        <w:jc w:val="center"/>
        <w:rPr>
          <w:rFonts w:ascii="sans-serif" w:hAnsi="sans-serif"/>
          <w:color w:val="000000"/>
          <w:sz w:val="24"/>
        </w:rPr>
      </w:pPr>
      <w:r>
        <w:rPr>
          <w:rFonts w:ascii="sans-serif" w:hAnsi="sans-serif"/>
          <w:color w:val="000000"/>
          <w:sz w:val="24"/>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2313</Words>
  <Characters>12771</Characters>
  <CharactersWithSpaces>15299</CharactersWithSpaces>
  <Paragraphs>1046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