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Yoder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ARCADIA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5956 SHERRY LANE, SUITE 2000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Arcadia Biosciences, Inc.</w:t>
              </w:r>
            </w:hyperlink>
            <w:r>
              <w:rPr/>
              <w:t xml:space="preserve"> [ </w:t>
            </w:r>
            <w:r>
              <w:rPr>
                <w:rFonts w:ascii="Times;serif" w:hAnsi="Times;serif"/>
                <w:color w:val="0000FF"/>
                <w:sz w:val="24"/>
                <w:shd w:fill="FFFFFF" w:val="clear"/>
              </w:rPr>
              <w:t>RKDA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0.46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23,442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become 100% vested and exercisable on the earlier to occur of (i) September 10, 2027 or (ii) the date of the Issuer's next Annual Meeting of Stockholders, subject to the Participant's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Amy Yoder, by Attorney-in-fact, Solaeta Chan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2263" TargetMode="External"/><Relationship Id="rId5" Type="http://schemas.openxmlformats.org/officeDocument/2006/relationships/hyperlink" Target="http://www.sec.gov/cgi-bin/browse-edgar?action=getcompany&amp;CIK=00014694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3313</Characters>
  <CharactersWithSpaces>3853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