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0001469443</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Arcadia Biosciences,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Arcadia Biosciences,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5956 SHERRY LANE</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75225</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214-974-8921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Schaefer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 Sherry Lane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Comcowich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Kevin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 Sherry Lane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 Sherry Lane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Murray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Lilian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Shackelford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 Sherry Lane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Waller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 Sherry Lane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2026-06-12</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 Wainwright &amp; Co,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375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 Park Avenue</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11,417,964</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3,999,613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7,418,351</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Includes gross proceeds received from issuance of pre-funded warrants &amp; preferred investment options. Offering also reflects the aggregate exercise price of pre-funded warrants, preferred investment options and placement agent investment options issued.</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In addition to cash fee, the company paid certain expenses of $75,000 and issued placement agent preferred investment options to purchase up to 271,845 shares of common stock at exercise price $1.2875 per share.</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106"/>
        <w:gridCol w:w="2409"/>
        <w:gridCol w:w="2408"/>
        <w:gridCol w:w="737"/>
        <w:gridCol w:w="1545"/>
      </w:tblGrid>
      <w:tr>
        <w:trPr>
          <w:tblHeader w:val="true"/>
        </w:trPr>
        <w:tc>
          <w:tcPr>
            <w:tcW w:w="310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40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0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7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5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1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Arcadia Biosciences, Inc.</w:t>
            </w:r>
          </w:p>
        </w:tc>
        <w:tc>
          <w:tcPr>
            <w:tcW w:w="240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 J. Schaefer</w:t>
            </w:r>
          </w:p>
        </w:tc>
        <w:tc>
          <w:tcPr>
            <w:tcW w:w="240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 J. Schaefer</w:t>
            </w:r>
          </w:p>
        </w:tc>
        <w:tc>
          <w:tcPr>
            <w:tcW w:w="7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CEO</w:t>
            </w:r>
          </w:p>
        </w:tc>
        <w:tc>
          <w:tcPr>
            <w:tcW w:w="15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2026-06-18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469443"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numbering" Target="numbering.xml"/><Relationship Id="rId129" Type="http://schemas.openxmlformats.org/officeDocument/2006/relationships/fontTable" Target="fontTable.xml"/><Relationship Id="rId1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1573</Words>
  <Characters>8813</Characters>
  <CharactersWithSpaces>10052</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